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rPr>
          <w:rFonts w:ascii="宋体" w:hAnsi="宋体"/>
          <w:sz w:val="28"/>
          <w:u w:val="single"/>
        </w:rPr>
      </w:pPr>
      <w:r>
        <w:rPr>
          <w:rFonts w:hint="eastAsia"/>
          <w:sz w:val="24"/>
        </w:rPr>
        <w:t xml:space="preserve">                                        </w:t>
      </w:r>
      <w:r>
        <w:rPr>
          <w:rFonts w:hint="eastAsia" w:eastAsia="华文行楷"/>
          <w:sz w:val="28"/>
        </w:rPr>
        <w:t xml:space="preserve">               </w:t>
      </w:r>
    </w:p>
    <w:p>
      <w:pPr>
        <w:spacing w:line="240" w:lineRule="auto"/>
        <w:ind w:firstLine="0" w:firstLineChars="0"/>
        <w:jc w:val="center"/>
        <w:rPr>
          <w:rFonts w:hint="eastAsia" w:ascii="楷体_GB2312" w:hAnsi="宋体" w:eastAsia="楷体_GB2312" w:cs="Times New Roman"/>
          <w:b/>
          <w:spacing w:val="-20"/>
          <w:sz w:val="72"/>
          <w:szCs w:val="72"/>
        </w:rPr>
      </w:pPr>
      <w:r>
        <w:rPr>
          <w:rFonts w:hint="eastAsia" w:ascii="楷体_GB2312" w:hAnsi="宋体" w:eastAsia="楷体_GB2312" w:cs="Times New Roman"/>
          <w:b/>
          <w:spacing w:val="-20"/>
          <w:sz w:val="72"/>
          <w:szCs w:val="72"/>
        </w:rPr>
        <w:t>广州商学院</w:t>
      </w:r>
    </w:p>
    <w:p>
      <w:pPr>
        <w:spacing w:line="240" w:lineRule="auto"/>
        <w:ind w:firstLine="0" w:firstLineChars="0"/>
        <w:jc w:val="center"/>
        <w:rPr>
          <w:rFonts w:hint="eastAsia" w:ascii="楷体_GB2312" w:hAnsi="宋体" w:eastAsia="楷体_GB2312" w:cs="Times New Roman"/>
          <w:b/>
          <w:sz w:val="72"/>
          <w:szCs w:val="72"/>
        </w:rPr>
      </w:pPr>
      <w:r>
        <w:rPr>
          <w:rFonts w:hint="eastAsia" w:ascii="楷体_GB2312" w:hAnsi="宋体" w:eastAsia="楷体_GB2312" w:cs="Times New Roman"/>
          <w:b/>
          <w:sz w:val="72"/>
          <w:szCs w:val="72"/>
          <w:lang w:val="en-US" w:eastAsia="zh-CN"/>
        </w:rPr>
        <w:t>高等</w:t>
      </w:r>
      <w:r>
        <w:rPr>
          <w:rFonts w:hint="eastAsia" w:ascii="楷体_GB2312" w:hAnsi="宋体" w:eastAsia="楷体_GB2312" w:cs="Times New Roman"/>
          <w:b/>
          <w:sz w:val="72"/>
          <w:szCs w:val="72"/>
        </w:rPr>
        <w:t>学历</w:t>
      </w:r>
      <w:r>
        <w:rPr>
          <w:rFonts w:hint="eastAsia" w:ascii="楷体_GB2312" w:hAnsi="宋体" w:eastAsia="楷体_GB2312" w:cs="Times New Roman"/>
          <w:b/>
          <w:sz w:val="72"/>
          <w:szCs w:val="72"/>
          <w:lang w:val="en-US" w:eastAsia="zh-CN"/>
        </w:rPr>
        <w:t>继续</w:t>
      </w:r>
      <w:r>
        <w:rPr>
          <w:rFonts w:hint="eastAsia" w:ascii="楷体_GB2312" w:hAnsi="宋体" w:eastAsia="楷体_GB2312" w:cs="Times New Roman"/>
          <w:b/>
          <w:sz w:val="72"/>
          <w:szCs w:val="72"/>
        </w:rPr>
        <w:t>教育</w:t>
      </w:r>
    </w:p>
    <w:p>
      <w:pPr>
        <w:ind w:left="0" w:leftChars="0" w:firstLine="899" w:firstLineChars="100"/>
        <w:rPr>
          <w:sz w:val="28"/>
        </w:rPr>
      </w:pPr>
      <w:r>
        <w:rPr>
          <w:rFonts w:hint="eastAsia" w:ascii="楷体_GB2312" w:hAnsi="宋体" w:eastAsia="楷体_GB2312" w:cs="Times New Roman"/>
          <w:b/>
          <w:spacing w:val="-20"/>
          <w:w w:val="130"/>
          <w:position w:val="-6"/>
          <w:sz w:val="72"/>
          <w:szCs w:val="72"/>
        </w:rPr>
        <w:t>本科毕业论文（设计）</w:t>
      </w:r>
    </w:p>
    <w:p>
      <w:pPr>
        <w:ind w:left="480" w:leftChars="200" w:firstLine="838" w:firstLineChars="232"/>
        <w:rPr>
          <w:b/>
          <w:sz w:val="36"/>
          <w:szCs w:val="36"/>
        </w:rPr>
      </w:pPr>
    </w:p>
    <w:p>
      <w:pPr>
        <w:rPr>
          <w:sz w:val="28"/>
        </w:rPr>
      </w:pPr>
    </w:p>
    <w:p>
      <w:pPr>
        <w:ind w:left="2800" w:hanging="3614" w:hangingChars="1000"/>
        <w:jc w:val="center"/>
        <w:outlineLvl w:val="0"/>
        <w:rPr>
          <w:rFonts w:hint="eastAsia" w:ascii="宋体" w:hAnsi="宋体" w:eastAsia="宋体" w:cs="宋体"/>
          <w:b/>
          <w:sz w:val="44"/>
          <w:szCs w:val="44"/>
          <w:u w:val="single"/>
          <w:lang w:val="en-US" w:eastAsia="zh-CN"/>
        </w:rPr>
      </w:pPr>
      <w:bookmarkStart w:id="0" w:name="_Toc6646"/>
      <w:bookmarkStart w:id="1" w:name="_Toc14471"/>
      <w:bookmarkStart w:id="2" w:name="_Toc20798"/>
      <w:r>
        <w:rPr>
          <w:rFonts w:hint="eastAsia" w:ascii="宋体" w:hAnsi="宋体" w:eastAsia="宋体" w:cs="宋体"/>
          <w:b/>
          <w:sz w:val="36"/>
          <w:szCs w:val="36"/>
        </w:rPr>
        <w:t xml:space="preserve">题    目： </w:t>
      </w:r>
      <w:bookmarkEnd w:id="0"/>
      <w:bookmarkEnd w:id="1"/>
      <w:r>
        <w:rPr>
          <w:rFonts w:hint="eastAsia" w:ascii="宋体" w:hAnsi="宋体" w:eastAsia="宋体" w:cs="宋体"/>
          <w:b/>
          <w:sz w:val="36"/>
          <w:szCs w:val="36"/>
          <w:u w:val="single"/>
          <w:lang w:val="en-US" w:eastAsia="zh-CN"/>
        </w:rPr>
        <w:t>XXXXXXXXXXX</w:t>
      </w:r>
      <w:bookmarkEnd w:id="2"/>
    </w:p>
    <w:p>
      <w:pPr>
        <w:pStyle w:val="2"/>
        <w:rPr>
          <w:rFonts w:hint="eastAsia"/>
          <w:b/>
          <w:sz w:val="36"/>
          <w:szCs w:val="36"/>
          <w:u w:val="single"/>
          <w:lang w:val="en-US" w:eastAsia="zh-CN"/>
        </w:rPr>
      </w:pPr>
    </w:p>
    <w:p>
      <w:pPr>
        <w:rPr>
          <w:rFonts w:hint="eastAsia"/>
          <w:b/>
          <w:sz w:val="36"/>
          <w:szCs w:val="36"/>
          <w:u w:val="single"/>
          <w:lang w:val="en-US" w:eastAsia="zh-CN"/>
        </w:rPr>
      </w:pPr>
    </w:p>
    <w:p>
      <w:pPr>
        <w:pStyle w:val="2"/>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4"/>
        <w:gridCol w:w="3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pacing w:val="320"/>
                <w:kern w:val="0"/>
                <w:sz w:val="32"/>
                <w:szCs w:val="32"/>
                <w:fitText w:val="1280" w:id="911280038"/>
                <w:vertAlign w:val="baseline"/>
                <w:lang w:val="en-US" w:eastAsia="zh-CN"/>
              </w:rPr>
              <w:t>姓</w:t>
            </w:r>
            <w:r>
              <w:rPr>
                <w:rFonts w:hint="eastAsia" w:ascii="宋体" w:hAnsi="宋体" w:eastAsia="宋体" w:cs="宋体"/>
                <w:b/>
                <w:bCs w:val="0"/>
                <w:spacing w:val="0"/>
                <w:kern w:val="0"/>
                <w:sz w:val="32"/>
                <w:szCs w:val="32"/>
                <w:fitText w:val="1280" w:id="911280038"/>
                <w:vertAlign w:val="baseline"/>
                <w:lang w:val="en-US" w:eastAsia="zh-CN"/>
              </w:rPr>
              <w:t>名</w:t>
            </w:r>
            <w:r>
              <w:rPr>
                <w:rFonts w:hint="eastAsia" w:ascii="宋体" w:hAnsi="宋体" w:eastAsia="宋体" w:cs="宋体"/>
                <w:b/>
                <w:bCs w:val="0"/>
                <w:sz w:val="32"/>
                <w:szCs w:val="32"/>
                <w:vertAlign w:val="baseline"/>
                <w:lang w:val="en-US" w:eastAsia="zh-CN"/>
              </w:rPr>
              <w:t>：</w:t>
            </w:r>
          </w:p>
        </w:tc>
        <w:tc>
          <w:tcPr>
            <w:tcW w:w="3311" w:type="dxa"/>
            <w:tcBorders>
              <w:top w:val="nil"/>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single"/>
                <w:vertAlign w:val="baseline"/>
                <w:lang w:val="en-US" w:eastAsia="zh-CN"/>
              </w:rPr>
            </w:pPr>
            <w:r>
              <w:rPr>
                <w:rFonts w:hint="eastAsia" w:ascii="宋体" w:hAnsi="宋体" w:eastAsia="宋体" w:cs="宋体"/>
                <w:b/>
                <w:bCs w:val="0"/>
                <w:sz w:val="32"/>
                <w:szCs w:val="32"/>
                <w:u w:val="none"/>
                <w:vertAlign w:val="baseline"/>
                <w:lang w:val="en-US" w:eastAsia="zh-CN"/>
              </w:rPr>
              <w:t>钟小美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pacing w:val="320"/>
                <w:kern w:val="0"/>
                <w:sz w:val="32"/>
                <w:szCs w:val="32"/>
                <w:fitText w:val="1280" w:id="1734870140"/>
                <w:vertAlign w:val="baseline"/>
                <w:lang w:val="en-US" w:eastAsia="zh-CN"/>
              </w:rPr>
              <w:t>学</w:t>
            </w:r>
            <w:r>
              <w:rPr>
                <w:rFonts w:hint="eastAsia" w:ascii="宋体" w:hAnsi="宋体" w:eastAsia="宋体" w:cs="宋体"/>
                <w:b/>
                <w:bCs w:val="0"/>
                <w:spacing w:val="0"/>
                <w:kern w:val="0"/>
                <w:sz w:val="32"/>
                <w:szCs w:val="32"/>
                <w:fitText w:val="1280" w:id="1734870140"/>
                <w:vertAlign w:val="baseline"/>
                <w:lang w:val="en-US" w:eastAsia="zh-CN"/>
              </w:rPr>
              <w:t>号</w:t>
            </w:r>
            <w:r>
              <w:rPr>
                <w:rFonts w:hint="eastAsia" w:ascii="宋体" w:hAnsi="宋体" w:eastAsia="宋体" w:cs="宋体"/>
                <w:b/>
                <w:bCs w:val="0"/>
                <w:sz w:val="32"/>
                <w:szCs w:val="32"/>
                <w:vertAlign w:val="baseline"/>
                <w:lang w:val="en-US" w:eastAsia="zh-CN"/>
              </w:rPr>
              <w:t>：</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single"/>
                <w:vertAlign w:val="baseline"/>
                <w:lang w:val="en-US" w:eastAsia="zh-CN"/>
              </w:rPr>
            </w:pPr>
            <w:r>
              <w:rPr>
                <w:rFonts w:hint="eastAsia" w:ascii="宋体" w:hAnsi="宋体" w:eastAsia="宋体" w:cs="宋体"/>
                <w:b/>
                <w:bCs w:val="0"/>
                <w:sz w:val="32"/>
                <w:szCs w:val="32"/>
                <w:u w:val="none"/>
                <w:vertAlign w:val="baseline"/>
                <w:lang w:val="en-US" w:eastAsia="zh-CN"/>
              </w:rPr>
              <w:t>202004070112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pacing w:val="320"/>
                <w:kern w:val="0"/>
                <w:sz w:val="32"/>
                <w:szCs w:val="32"/>
                <w:fitText w:val="1280" w:id="892432082"/>
                <w:vertAlign w:val="baseline"/>
                <w:lang w:val="en-US" w:eastAsia="zh-CN"/>
              </w:rPr>
              <w:t>学</w:t>
            </w:r>
            <w:r>
              <w:rPr>
                <w:rFonts w:hint="eastAsia" w:ascii="宋体" w:hAnsi="宋体" w:eastAsia="宋体" w:cs="宋体"/>
                <w:b/>
                <w:bCs w:val="0"/>
                <w:spacing w:val="0"/>
                <w:kern w:val="0"/>
                <w:sz w:val="32"/>
                <w:szCs w:val="32"/>
                <w:fitText w:val="1280" w:id="892432082"/>
                <w:vertAlign w:val="baseline"/>
                <w:lang w:val="en-US" w:eastAsia="zh-CN"/>
              </w:rPr>
              <w:t>院</w:t>
            </w:r>
            <w:r>
              <w:rPr>
                <w:rFonts w:hint="eastAsia" w:ascii="宋体" w:hAnsi="宋体" w:eastAsia="宋体" w:cs="宋体"/>
                <w:b/>
                <w:bCs w:val="0"/>
                <w:sz w:val="32"/>
                <w:szCs w:val="32"/>
                <w:vertAlign w:val="baseline"/>
                <w:lang w:val="en-US" w:eastAsia="zh-CN"/>
              </w:rPr>
              <w:t>：</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eastAsia" w:ascii="宋体" w:hAnsi="宋体" w:eastAsia="宋体" w:cs="宋体"/>
                <w:b/>
                <w:bCs w:val="0"/>
                <w:sz w:val="32"/>
                <w:szCs w:val="32"/>
                <w:u w:val="single"/>
                <w:vertAlign w:val="baseline"/>
                <w:lang w:val="en-US" w:eastAsia="zh-CN"/>
              </w:rPr>
            </w:pPr>
            <w:r>
              <w:rPr>
                <w:rFonts w:hint="eastAsia" w:ascii="宋体" w:hAnsi="宋体" w:eastAsia="宋体" w:cs="宋体"/>
                <w:b/>
                <w:bCs w:val="0"/>
                <w:sz w:val="32"/>
                <w:szCs w:val="32"/>
                <w:u w:val="none"/>
                <w:vertAlign w:val="baseline"/>
                <w:lang w:val="en-US" w:eastAsia="zh-CN"/>
              </w:rPr>
              <w:t>继续教育学院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z w:val="32"/>
                <w:szCs w:val="32"/>
                <w:vertAlign w:val="baseline"/>
                <w:lang w:val="en-US" w:eastAsia="zh-CN"/>
              </w:rPr>
              <w:t>专业年级：</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none"/>
                <w:vertAlign w:val="baseline"/>
                <w:lang w:val="en-US" w:eastAsia="zh-CN"/>
              </w:rPr>
            </w:pPr>
            <w:r>
              <w:rPr>
                <w:rFonts w:hint="eastAsia" w:ascii="宋体" w:hAnsi="宋体" w:eastAsia="宋体" w:cs="宋体"/>
                <w:b/>
                <w:bCs w:val="0"/>
                <w:sz w:val="32"/>
                <w:szCs w:val="32"/>
                <w:u w:val="none"/>
                <w:vertAlign w:val="baseline"/>
                <w:lang w:val="en-US" w:eastAsia="zh-CN"/>
              </w:rPr>
              <w:t>法学2020级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z w:val="32"/>
                <w:szCs w:val="32"/>
                <w:vertAlign w:val="baseline"/>
                <w:lang w:val="en-US" w:eastAsia="zh-CN"/>
              </w:rPr>
              <w:t>指导教师：</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none"/>
                <w:vertAlign w:val="baseline"/>
                <w:lang w:val="en-US" w:eastAsia="zh-CN"/>
              </w:rPr>
            </w:pPr>
            <w:r>
              <w:rPr>
                <w:rFonts w:hint="eastAsia" w:ascii="宋体" w:hAnsi="宋体" w:eastAsia="宋体" w:cs="宋体"/>
                <w:b/>
                <w:bCs w:val="0"/>
                <w:sz w:val="32"/>
                <w:szCs w:val="32"/>
                <w:u w:val="none"/>
                <w:vertAlign w:val="baseline"/>
                <w:lang w:val="en-US" w:eastAsia="zh-CN"/>
              </w:rPr>
              <w:t>潘小张</w:t>
            </w:r>
          </w:p>
        </w:tc>
      </w:tr>
    </w:tbl>
    <w:p>
      <w:pPr>
        <w:pStyle w:val="2"/>
        <w:rPr>
          <w:rFonts w:hint="eastAsia"/>
          <w:b/>
          <w:sz w:val="32"/>
          <w:szCs w:val="32"/>
          <w:lang w:eastAsia="zh-CN"/>
        </w:rPr>
      </w:pPr>
    </w:p>
    <w:p>
      <w:pPr>
        <w:rPr>
          <w:rFonts w:hint="eastAsia"/>
          <w:b/>
          <w:sz w:val="32"/>
          <w:szCs w:val="32"/>
          <w:lang w:eastAsia="zh-CN"/>
        </w:rPr>
      </w:pPr>
    </w:p>
    <w:p>
      <w:pPr>
        <w:pStyle w:val="2"/>
        <w:rPr>
          <w:rFonts w:hint="default"/>
          <w:lang w:val="en-US" w:eastAsia="zh-CN"/>
        </w:rPr>
      </w:pPr>
    </w:p>
    <w:p>
      <w:pPr>
        <w:jc w:val="center"/>
        <w:rPr>
          <w:b/>
          <w:sz w:val="28"/>
        </w:rPr>
      </w:pPr>
      <w:r>
        <w:rPr>
          <w:rFonts w:hint="eastAsia"/>
          <w:b/>
          <w:sz w:val="28"/>
        </w:rPr>
        <w:t>202</w:t>
      </w:r>
      <w:r>
        <w:rPr>
          <w:rFonts w:hint="eastAsia"/>
          <w:b/>
          <w:sz w:val="28"/>
          <w:lang w:val="en-US" w:eastAsia="zh-CN"/>
        </w:rPr>
        <w:t>4</w:t>
      </w:r>
      <w:r>
        <w:rPr>
          <w:rFonts w:hint="eastAsia"/>
          <w:b/>
          <w:sz w:val="28"/>
        </w:rPr>
        <w:t>年4月</w:t>
      </w:r>
      <w:r>
        <w:rPr>
          <w:b/>
          <w:sz w:val="28"/>
        </w:rPr>
        <w:t>30</w:t>
      </w:r>
      <w:r>
        <w:rPr>
          <w:rFonts w:hint="eastAsia"/>
          <w:b/>
          <w:sz w:val="28"/>
        </w:rPr>
        <w:t>日</w:t>
      </w:r>
    </w:p>
    <w:p>
      <w:pPr>
        <w:spacing w:after="100" w:afterAutospacing="1" w:line="300" w:lineRule="auto"/>
        <w:jc w:val="center"/>
        <w:rPr>
          <w:rFonts w:hint="eastAsia" w:ascii="黑体" w:eastAsia="黑体"/>
          <w:b/>
          <w:bCs/>
          <w:sz w:val="36"/>
          <w:szCs w:val="36"/>
        </w:rPr>
        <w:sectPr>
          <w:footerReference r:id="rId5" w:type="default"/>
          <w:footnotePr>
            <w:numFmt w:val="decimalEnclosedCircleChinese"/>
            <w:numRestart w:val="eachPage"/>
          </w:footnotePr>
          <w:pgSz w:w="11906" w:h="16838"/>
          <w:pgMar w:top="1417" w:right="1134" w:bottom="1417" w:left="1134" w:header="851" w:footer="992" w:gutter="283"/>
          <w:pgBorders>
            <w:top w:val="none" w:sz="0" w:space="0"/>
            <w:left w:val="none" w:sz="0" w:space="0"/>
            <w:bottom w:val="none" w:sz="0" w:space="0"/>
            <w:right w:val="none" w:sz="0" w:space="0"/>
          </w:pgBorders>
          <w:pgNumType w:fmt="decimal"/>
          <w:cols w:space="425" w:num="1"/>
          <w:rtlGutter w:val="0"/>
          <w:docGrid w:type="lines" w:linePitch="312" w:charSpace="0"/>
        </w:sectPr>
      </w:pPr>
    </w:p>
    <w:p>
      <w:pPr>
        <w:spacing w:after="100" w:afterAutospacing="1" w:line="300" w:lineRule="auto"/>
        <w:ind w:firstLine="1807" w:firstLineChars="500"/>
        <w:jc w:val="both"/>
        <w:outlineLvl w:val="0"/>
        <w:rPr>
          <w:rFonts w:ascii="黑体" w:eastAsia="黑体"/>
          <w:b/>
          <w:sz w:val="36"/>
          <w:szCs w:val="36"/>
        </w:rPr>
      </w:pPr>
      <w:bookmarkStart w:id="3" w:name="_Toc16541"/>
      <w:bookmarkStart w:id="4" w:name="_Toc32169"/>
      <w:bookmarkStart w:id="5" w:name="_Toc10436"/>
      <w:r>
        <w:rPr>
          <w:rFonts w:hint="eastAsia" w:ascii="黑体" w:eastAsia="黑体"/>
          <w:b/>
          <w:bCs/>
          <w:sz w:val="36"/>
          <w:szCs w:val="36"/>
        </w:rPr>
        <w:t>本科毕业论文（设计）原创性声明</w:t>
      </w:r>
      <w:bookmarkEnd w:id="3"/>
      <w:bookmarkEnd w:id="4"/>
      <w:bookmarkEnd w:id="5"/>
    </w:p>
    <w:p>
      <w:pPr>
        <w:spacing w:line="300" w:lineRule="auto"/>
        <w:ind w:firstLine="560" w:firstLineChars="200"/>
        <w:rPr>
          <w:rFonts w:ascii="仿宋_GB2312" w:eastAsia="仿宋_GB2312"/>
          <w:sz w:val="28"/>
          <w:szCs w:val="28"/>
        </w:rPr>
      </w:pPr>
      <w:r>
        <w:rPr>
          <w:rFonts w:hint="eastAsia" w:ascii="仿宋_GB2312" w:eastAsia="仿宋_GB2312"/>
          <w:sz w:val="28"/>
          <w:szCs w:val="28"/>
        </w:rPr>
        <w:t>本人郑重声明：所呈交的毕业论文（设计），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pPr>
        <w:spacing w:line="300" w:lineRule="auto"/>
        <w:rPr>
          <w:rFonts w:ascii="仿宋_GB2312" w:eastAsia="仿宋_GB2312"/>
          <w:sz w:val="28"/>
          <w:szCs w:val="28"/>
        </w:rPr>
      </w:pPr>
      <w:r>
        <w:rPr>
          <w:rFonts w:hint="eastAsia" w:ascii="仿宋_GB2312" w:eastAsia="仿宋_GB2312"/>
          <w:sz w:val="28"/>
          <w:szCs w:val="28"/>
        </w:rPr>
        <w:drawing>
          <wp:anchor distT="0" distB="0" distL="114300" distR="114300" simplePos="0" relativeHeight="251661312" behindDoc="0" locked="0" layoutInCell="1" allowOverlap="1">
            <wp:simplePos x="0" y="0"/>
            <wp:positionH relativeFrom="column">
              <wp:posOffset>1038225</wp:posOffset>
            </wp:positionH>
            <wp:positionV relativeFrom="paragraph">
              <wp:posOffset>183515</wp:posOffset>
            </wp:positionV>
            <wp:extent cx="857250" cy="857250"/>
            <wp:effectExtent l="0" t="0" r="0" b="0"/>
            <wp:wrapNone/>
            <wp:docPr id="1" name="图片 1" descr="2a4fdf003e39982bdde09bd885f4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4fdf003e39982bdde09bd885f44c9"/>
                    <pic:cNvPicPr>
                      <a:picLocks noChangeAspect="1"/>
                    </pic:cNvPicPr>
                  </pic:nvPicPr>
                  <pic:blipFill>
                    <a:blip r:embed="rId14"/>
                    <a:stretch>
                      <a:fillRect/>
                    </a:stretch>
                  </pic:blipFill>
                  <pic:spPr>
                    <a:xfrm>
                      <a:off x="0" y="0"/>
                      <a:ext cx="857250" cy="857250"/>
                    </a:xfrm>
                    <a:prstGeom prst="rect">
                      <a:avLst/>
                    </a:prstGeom>
                  </pic:spPr>
                </pic:pic>
              </a:graphicData>
            </a:graphic>
          </wp:anchor>
        </w:drawing>
      </w:r>
    </w:p>
    <w:p>
      <w:pPr>
        <w:spacing w:line="300" w:lineRule="auto"/>
        <w:ind w:firstLine="560" w:firstLineChars="200"/>
        <w:rPr>
          <w:rFonts w:ascii="仿宋_GB2312" w:eastAsia="仿宋_GB2312"/>
          <w:sz w:val="28"/>
          <w:szCs w:val="28"/>
        </w:rPr>
      </w:pPr>
      <w:r>
        <w:rPr>
          <w:rFonts w:hint="eastAsia" w:ascii="仿宋_GB2312" w:eastAsia="仿宋_GB2312"/>
          <w:sz w:val="28"/>
          <w:szCs w:val="28"/>
        </w:rPr>
        <w:t xml:space="preserve">作者签名：              </w:t>
      </w:r>
      <w:r>
        <w:rPr>
          <w:rFonts w:hint="eastAsia" w:ascii="仿宋_GB2312" w:eastAsia="仿宋_GB2312"/>
          <w:sz w:val="28"/>
          <w:szCs w:val="28"/>
          <w:lang w:val="en-US" w:eastAsia="zh-CN"/>
        </w:rPr>
        <w:t xml:space="preserve">                </w:t>
      </w:r>
      <w:r>
        <w:rPr>
          <w:rFonts w:hint="eastAsia" w:ascii="仿宋_GB2312" w:eastAsia="仿宋_GB2312"/>
          <w:sz w:val="28"/>
          <w:szCs w:val="28"/>
        </w:rPr>
        <w:t>日期：</w:t>
      </w:r>
      <w:r>
        <w:rPr>
          <w:rFonts w:hint="eastAsia" w:ascii="仿宋_GB2312" w:eastAsia="仿宋_GB2312"/>
          <w:sz w:val="28"/>
          <w:szCs w:val="28"/>
          <w:lang w:val="en-US" w:eastAsia="zh-CN"/>
        </w:rPr>
        <w:t>2024</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w:t>
      </w:r>
    </w:p>
    <w:p>
      <w:pPr>
        <w:spacing w:line="300" w:lineRule="auto"/>
      </w:pPr>
    </w:p>
    <w:p>
      <w:pPr>
        <w:spacing w:line="300" w:lineRule="auto"/>
      </w:pPr>
    </w:p>
    <w:p>
      <w:pPr>
        <w:spacing w:after="100" w:afterAutospacing="1" w:line="300" w:lineRule="auto"/>
        <w:jc w:val="center"/>
        <w:outlineLvl w:val="0"/>
        <w:rPr>
          <w:rFonts w:ascii="黑体" w:eastAsia="黑体"/>
          <w:b/>
          <w:sz w:val="36"/>
          <w:szCs w:val="36"/>
        </w:rPr>
      </w:pPr>
      <w:bookmarkStart w:id="6" w:name="_Toc7229"/>
      <w:bookmarkStart w:id="7" w:name="_Toc5552"/>
      <w:bookmarkStart w:id="8" w:name="_Toc17468"/>
      <w:r>
        <w:rPr>
          <w:rFonts w:hint="eastAsia" w:ascii="黑体" w:eastAsia="黑体"/>
          <w:b/>
          <w:bCs/>
          <w:sz w:val="36"/>
          <w:szCs w:val="36"/>
        </w:rPr>
        <w:t>本科毕业论文（设计）版权使用授权书</w:t>
      </w:r>
      <w:bookmarkEnd w:id="6"/>
      <w:bookmarkEnd w:id="7"/>
      <w:bookmarkEnd w:id="8"/>
    </w:p>
    <w:p>
      <w:pPr>
        <w:spacing w:line="300" w:lineRule="auto"/>
        <w:ind w:firstLine="560" w:firstLineChars="200"/>
        <w:rPr>
          <w:rFonts w:ascii="仿宋_GB2312" w:eastAsia="仿宋_GB2312"/>
          <w:sz w:val="28"/>
          <w:szCs w:val="28"/>
        </w:rPr>
      </w:pPr>
      <w:r>
        <w:rPr>
          <w:rFonts w:hint="eastAsia" w:ascii="仿宋_GB2312" w:eastAsia="仿宋_GB2312"/>
          <w:sz w:val="28"/>
          <w:szCs w:val="28"/>
        </w:rPr>
        <w:t>本论文（设计）作者完全了解学校有关保留、使用毕业论文（设计）的规定，同意学校保留并向国家有关部门或机构送交论文（设计）的复印件和电子版，允许论文（设计）被查阅和借阅。本人授权广州商学院可以将本论文（设计）的全部或部分内容编入有关数据库进行检索，可以采用影印、缩印或扫描等复制手段保存和汇编本论文（设计）。</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本论文（设计）属于</w:t>
      </w:r>
    </w:p>
    <w:p>
      <w:pPr>
        <w:spacing w:line="300" w:lineRule="auto"/>
        <w:ind w:firstLine="2660" w:firstLineChars="950"/>
        <w:outlineLvl w:val="0"/>
        <w:rPr>
          <w:rFonts w:ascii="仿宋_GB2312" w:eastAsia="仿宋_GB2312"/>
          <w:sz w:val="28"/>
          <w:szCs w:val="28"/>
        </w:rPr>
      </w:pPr>
      <w:bookmarkStart w:id="9" w:name="_Toc24085"/>
      <w:bookmarkStart w:id="10" w:name="_Toc7830"/>
      <w:bookmarkStart w:id="11" w:name="_Toc27652"/>
      <w:r>
        <w:rPr>
          <w:rFonts w:hint="eastAsia" w:ascii="仿宋_GB2312" w:eastAsia="仿宋_GB2312"/>
          <w:sz w:val="28"/>
          <w:szCs w:val="28"/>
        </w:rPr>
        <w:t>1.保密□，在______年解密后适用本授权书。</w:t>
      </w:r>
      <w:bookmarkEnd w:id="9"/>
      <w:bookmarkEnd w:id="10"/>
      <w:bookmarkEnd w:id="11"/>
    </w:p>
    <w:p>
      <w:pPr>
        <w:spacing w:line="300" w:lineRule="auto"/>
        <w:ind w:firstLine="2660" w:firstLineChars="950"/>
        <w:rPr>
          <w:rFonts w:ascii="仿宋_GB2312" w:eastAsia="仿宋_GB2312"/>
          <w:sz w:val="28"/>
          <w:szCs w:val="28"/>
        </w:rPr>
      </w:pPr>
      <w:r>
        <w:rPr>
          <w:rFonts w:hint="eastAsia" w:ascii="仿宋_GB2312" w:eastAsia="仿宋_GB2312"/>
          <w:sz w:val="28"/>
          <w:szCs w:val="28"/>
        </w:rPr>
        <w:t>2.不保密</w:t>
      </w:r>
      <w:r>
        <w:rPr>
          <w:rFonts w:hint="eastAsia" w:ascii="仿宋_GB2312" w:eastAsia="仿宋_GB2312"/>
          <w:sz w:val="28"/>
          <w:szCs w:val="28"/>
        </w:rPr>
        <w:sym w:font="Wingdings 2" w:char="0052"/>
      </w:r>
      <w:r>
        <w:rPr>
          <w:rFonts w:hint="eastAsia" w:ascii="仿宋_GB2312" w:eastAsia="仿宋_GB2312"/>
          <w:sz w:val="28"/>
          <w:szCs w:val="28"/>
        </w:rPr>
        <w:t>。</w:t>
      </w:r>
    </w:p>
    <w:p>
      <w:pPr>
        <w:spacing w:line="300" w:lineRule="auto"/>
        <w:ind w:firstLine="2520" w:firstLineChars="900"/>
        <w:rPr>
          <w:rFonts w:ascii="仿宋_GB2312" w:eastAsia="仿宋_GB2312"/>
          <w:sz w:val="28"/>
          <w:szCs w:val="28"/>
        </w:rPr>
      </w:pPr>
      <w:r>
        <w:rPr>
          <w:rFonts w:hint="eastAsia" w:ascii="仿宋_GB2312" w:eastAsia="仿宋_GB2312"/>
          <w:sz w:val="28"/>
          <w:szCs w:val="28"/>
        </w:rPr>
        <w:drawing>
          <wp:anchor distT="0" distB="0" distL="114300" distR="114300" simplePos="0" relativeHeight="251664384" behindDoc="0" locked="0" layoutInCell="1" allowOverlap="1">
            <wp:simplePos x="0" y="0"/>
            <wp:positionH relativeFrom="column">
              <wp:posOffset>904875</wp:posOffset>
            </wp:positionH>
            <wp:positionV relativeFrom="paragraph">
              <wp:posOffset>171450</wp:posOffset>
            </wp:positionV>
            <wp:extent cx="857250" cy="857250"/>
            <wp:effectExtent l="0" t="0" r="0" b="0"/>
            <wp:wrapNone/>
            <wp:docPr id="2" name="图片 2" descr="2a4fdf003e39982bdde09bd885f4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4fdf003e39982bdde09bd885f44c9"/>
                    <pic:cNvPicPr>
                      <a:picLocks noChangeAspect="1"/>
                    </pic:cNvPicPr>
                  </pic:nvPicPr>
                  <pic:blipFill>
                    <a:blip r:embed="rId14"/>
                    <a:stretch>
                      <a:fillRect/>
                    </a:stretch>
                  </pic:blipFill>
                  <pic:spPr>
                    <a:xfrm>
                      <a:off x="0" y="0"/>
                      <a:ext cx="857250" cy="857250"/>
                    </a:xfrm>
                    <a:prstGeom prst="rect">
                      <a:avLst/>
                    </a:prstGeom>
                  </pic:spPr>
                </pic:pic>
              </a:graphicData>
            </a:graphic>
          </wp:anchor>
        </w:drawing>
      </w:r>
      <w:r>
        <w:rPr>
          <w:rFonts w:hint="eastAsia" w:ascii="仿宋_GB2312" w:eastAsia="仿宋_GB2312"/>
          <w:sz w:val="28"/>
          <w:szCs w:val="28"/>
        </w:rPr>
        <w:t>（请在以上相应方框内打“√”）</w:t>
      </w:r>
    </w:p>
    <w:p>
      <w:pPr>
        <w:spacing w:line="300" w:lineRule="auto"/>
        <w:ind w:firstLine="240" w:firstLineChars="100"/>
        <w:rPr>
          <w:rFonts w:hint="eastAsia" w:ascii="仿宋_GB2312" w:eastAsia="仿宋_GB2312"/>
          <w:sz w:val="28"/>
          <w:szCs w:val="28"/>
        </w:rPr>
      </w:pPr>
      <w:r>
        <w:rPr>
          <w:rFonts w:hint="eastAsia" w:ascii="宋体" w:hAnsi="宋体" w:eastAsiaTheme="minorEastAsia"/>
          <w:color w:val="000000"/>
          <w:szCs w:val="21"/>
          <w:lang w:eastAsia="zh-CN"/>
        </w:rPr>
        <w:drawing>
          <wp:anchor distT="0" distB="0" distL="114300" distR="114300" simplePos="0" relativeHeight="251660288" behindDoc="0" locked="0" layoutInCell="1" allowOverlap="1">
            <wp:simplePos x="0" y="0"/>
            <wp:positionH relativeFrom="column">
              <wp:posOffset>1456055</wp:posOffset>
            </wp:positionH>
            <wp:positionV relativeFrom="paragraph">
              <wp:posOffset>202565</wp:posOffset>
            </wp:positionV>
            <wp:extent cx="741680" cy="741680"/>
            <wp:effectExtent l="0" t="0" r="0" b="0"/>
            <wp:wrapNone/>
            <wp:docPr id="20" name="图片 20" descr="471858a2c012159eae183dd91c4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471858a2c012159eae183dd91c42447"/>
                    <pic:cNvPicPr>
                      <a:picLocks noChangeAspect="1"/>
                    </pic:cNvPicPr>
                  </pic:nvPicPr>
                  <pic:blipFill>
                    <a:blip r:embed="rId15"/>
                    <a:stretch>
                      <a:fillRect/>
                    </a:stretch>
                  </pic:blipFill>
                  <pic:spPr>
                    <a:xfrm rot="5400000">
                      <a:off x="0" y="0"/>
                      <a:ext cx="741680" cy="741680"/>
                    </a:xfrm>
                    <a:prstGeom prst="rect">
                      <a:avLst/>
                    </a:prstGeom>
                  </pic:spPr>
                </pic:pic>
              </a:graphicData>
            </a:graphic>
          </wp:anchor>
        </w:drawing>
      </w:r>
      <w:r>
        <w:rPr>
          <w:rFonts w:hint="eastAsia" w:ascii="仿宋_GB2312" w:eastAsia="仿宋_GB2312"/>
          <w:sz w:val="28"/>
          <w:szCs w:val="28"/>
        </w:rPr>
        <w:t>作者签名：</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日期：</w:t>
      </w:r>
      <w:r>
        <w:rPr>
          <w:rFonts w:hint="eastAsia" w:ascii="仿宋_GB2312" w:eastAsia="仿宋_GB2312"/>
          <w:sz w:val="28"/>
          <w:szCs w:val="28"/>
          <w:lang w:val="en-US" w:eastAsia="zh-CN"/>
        </w:rPr>
        <w:t>2024</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w:t>
      </w:r>
    </w:p>
    <w:p>
      <w:pPr>
        <w:spacing w:line="300" w:lineRule="auto"/>
        <w:ind w:left="0" w:leftChars="0" w:firstLine="280" w:firstLineChars="100"/>
        <w:rPr>
          <w:rFonts w:ascii="仿宋_GB2312" w:eastAsia="仿宋_GB2312"/>
          <w:sz w:val="28"/>
          <w:szCs w:val="28"/>
        </w:rPr>
      </w:pPr>
      <w:r>
        <w:rPr>
          <w:rFonts w:hint="eastAsia" w:ascii="仿宋_GB2312" w:eastAsia="仿宋_GB2312"/>
          <w:sz w:val="28"/>
          <w:szCs w:val="28"/>
          <w:lang w:val="en-US" w:eastAsia="zh-CN"/>
        </w:rPr>
        <w:t xml:space="preserve">指导老师签名：                              </w:t>
      </w:r>
      <w:r>
        <w:rPr>
          <w:rFonts w:hint="eastAsia" w:ascii="仿宋_GB2312" w:eastAsia="仿宋_GB2312"/>
          <w:sz w:val="28"/>
          <w:szCs w:val="28"/>
        </w:rPr>
        <w:t>日期：</w:t>
      </w:r>
      <w:r>
        <w:rPr>
          <w:rFonts w:hint="eastAsia" w:ascii="仿宋_GB2312" w:eastAsia="仿宋_GB2312"/>
          <w:sz w:val="28"/>
          <w:szCs w:val="28"/>
          <w:lang w:val="en-US" w:eastAsia="zh-CN"/>
        </w:rPr>
        <w:t>2024</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w:t>
      </w:r>
    </w:p>
    <w:p>
      <w:pPr>
        <w:snapToGrid w:val="0"/>
        <w:spacing w:line="360" w:lineRule="auto"/>
        <w:jc w:val="center"/>
        <w:rPr>
          <w:rFonts w:eastAsia="黑体"/>
          <w:b/>
          <w:sz w:val="32"/>
        </w:rPr>
        <w:sectPr>
          <w:footerReference r:id="rId6" w:type="default"/>
          <w:footnotePr>
            <w:numFmt w:val="decimalEnclosedCircleChinese"/>
            <w:numRestart w:val="eachPage"/>
          </w:footnotePr>
          <w:pgSz w:w="11906" w:h="16838"/>
          <w:pgMar w:top="1417" w:right="1134" w:bottom="1417" w:left="1134" w:header="851" w:footer="992" w:gutter="283"/>
          <w:pgBorders>
            <w:top w:val="none" w:sz="0" w:space="0"/>
            <w:left w:val="none" w:sz="0" w:space="0"/>
            <w:bottom w:val="none" w:sz="0" w:space="0"/>
            <w:right w:val="none" w:sz="0" w:space="0"/>
          </w:pgBorders>
          <w:pgNumType w:fmt="decimal" w:start="1"/>
          <w:cols w:space="425" w:num="1"/>
          <w:rtlGutter w:val="0"/>
          <w:docGrid w:type="lines" w:linePitch="312" w:charSpace="0"/>
        </w:sectPr>
      </w:pPr>
    </w:p>
    <w:p>
      <w:pPr>
        <w:spacing w:line="300" w:lineRule="auto"/>
        <w:ind w:firstLine="723" w:firstLineChars="200"/>
        <w:jc w:val="center"/>
      </w:pPr>
      <w:bookmarkStart w:id="12" w:name="_Toc513160291"/>
      <w:r>
        <w:rPr>
          <w:rFonts w:hint="eastAsia" w:ascii="黑体" w:hAnsi="宋体" w:eastAsia="黑体"/>
          <w:b/>
          <w:bCs/>
          <w:sz w:val="36"/>
        </w:rPr>
        <w:t>目录</w:t>
      </w:r>
    </w:p>
    <w:sdt>
      <w:sdtPr>
        <w:rPr>
          <w:rFonts w:ascii="宋体" w:hAnsi="宋体" w:eastAsia="宋体" w:cs="Times New Roman"/>
          <w:kern w:val="2"/>
          <w:sz w:val="21"/>
          <w:szCs w:val="22"/>
          <w:lang w:val="en-US" w:eastAsia="zh-CN" w:bidi="ar-SA"/>
        </w:rPr>
        <w:id w:val="147451109"/>
        <w15:color w:val="DBDBDB"/>
        <w:docPartObj>
          <w:docPartGallery w:val="Table of Contents"/>
          <w:docPartUnique/>
        </w:docPartObj>
      </w:sdtPr>
      <w:sdtEndPr>
        <w:rPr>
          <w:rFonts w:hint="eastAsia" w:ascii="黑体" w:hAnsi="黑体" w:eastAsia="黑体" w:cs="Times New Roman"/>
          <w:kern w:val="2"/>
          <w:sz w:val="21"/>
          <w:szCs w:val="36"/>
          <w:lang w:val="en-US" w:eastAsia="zh-CN" w:bidi="ar-SA"/>
        </w:rPr>
      </w:sdtEndPr>
      <w:sdtContent>
        <w:p>
          <w:pPr>
            <w:spacing w:line="300" w:lineRule="auto"/>
            <w:jc w:val="center"/>
            <w:outlineLvl w:val="2"/>
          </w:pPr>
          <w:r>
            <w:rPr>
              <w:rFonts w:hint="eastAsia" w:ascii="黑体" w:hAnsi="黑体" w:eastAsia="黑体" w:cs="Times New Roman"/>
              <w:kern w:val="2"/>
              <w:sz w:val="21"/>
              <w:szCs w:val="36"/>
              <w:lang w:val="en-US" w:eastAsia="zh-CN" w:bidi="ar-SA"/>
            </w:rPr>
            <w:fldChar w:fldCharType="begin"/>
          </w:r>
          <w:r>
            <w:rPr>
              <w:rFonts w:hint="eastAsia" w:ascii="黑体" w:hAnsi="黑体" w:eastAsia="黑体" w:cs="Times New Roman"/>
              <w:kern w:val="2"/>
              <w:sz w:val="21"/>
              <w:szCs w:val="36"/>
              <w:lang w:val="en-US" w:eastAsia="zh-CN" w:bidi="ar-SA"/>
            </w:rPr>
            <w:instrText xml:space="preserve">TOC \o "1-3" \h \u </w:instrText>
          </w:r>
          <w:r>
            <w:rPr>
              <w:rFonts w:hint="eastAsia" w:ascii="黑体" w:hAnsi="黑体" w:eastAsia="黑体" w:cs="Times New Roman"/>
              <w:kern w:val="2"/>
              <w:sz w:val="21"/>
              <w:szCs w:val="36"/>
              <w:lang w:val="en-US" w:eastAsia="zh-CN" w:bidi="ar-SA"/>
            </w:rPr>
            <w:fldChar w:fldCharType="separate"/>
          </w:r>
        </w:p>
        <w:p>
          <w:pPr>
            <w:pStyle w:val="14"/>
            <w:keepNext w:val="0"/>
            <w:keepLines w:val="0"/>
            <w:pageBreakBefore w:val="0"/>
            <w:widowControl w:val="0"/>
            <w:tabs>
              <w:tab w:val="right" w:leader="dot" w:pos="9355"/>
              <w:tab w:val="clear" w:pos="8296"/>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_Toc5270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摘要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_Toc5270 \h </w:instrText>
          </w:r>
          <w:r>
            <w:rPr>
              <w:rFonts w:hint="eastAsia" w:ascii="宋体" w:hAnsi="宋体" w:eastAsia="宋体" w:cs="宋体"/>
              <w:sz w:val="24"/>
              <w:szCs w:val="24"/>
            </w:rPr>
            <w:fldChar w:fldCharType="separate"/>
          </w:r>
          <w:r>
            <w:rPr>
              <w:rFonts w:hint="eastAsia" w:ascii="宋体" w:hAnsi="宋体" w:eastAsia="宋体" w:cs="宋体"/>
              <w:sz w:val="24"/>
              <w:szCs w:val="24"/>
            </w:rPr>
            <w:t>I</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4"/>
            <w:keepNext w:val="0"/>
            <w:keepLines w:val="0"/>
            <w:pageBreakBefore w:val="0"/>
            <w:widowControl w:val="0"/>
            <w:tabs>
              <w:tab w:val="right" w:leader="dot" w:pos="9355"/>
              <w:tab w:val="clear" w:pos="8296"/>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_Toc20065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Abstract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_Toc20065 \h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4"/>
            <w:keepNext w:val="0"/>
            <w:keepLines w:val="0"/>
            <w:pageBreakBefore w:val="0"/>
            <w:widowControl w:val="0"/>
            <w:tabs>
              <w:tab w:val="right" w:leader="dot" w:pos="9355"/>
              <w:tab w:val="clear" w:pos="8296"/>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_Toc3273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引言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4"/>
            <w:keepNext w:val="0"/>
            <w:keepLines w:val="0"/>
            <w:pageBreakBefore w:val="0"/>
            <w:widowControl w:val="0"/>
            <w:tabs>
              <w:tab w:val="right" w:leader="dot" w:pos="9355"/>
              <w:tab w:val="clear" w:pos="8296"/>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_Toc17193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一、</w:t>
          </w:r>
          <w:r>
            <w:rPr>
              <w:rFonts w:hint="eastAsia" w:ascii="宋体" w:hAnsi="宋体" w:eastAsia="宋体" w:cs="宋体"/>
              <w:sz w:val="24"/>
              <w:szCs w:val="24"/>
            </w:rPr>
            <w:t>正当防卫的必要限度辨析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_Toc17193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6"/>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_Toc27765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（一） 刑法第20条第3款的性质争论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_Toc27765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6"/>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_Toc26556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（二） 司法实践中对刑法第20条第3款的运用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_Toc26556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4"/>
            <w:keepNext w:val="0"/>
            <w:keepLines w:val="0"/>
            <w:pageBreakBefore w:val="0"/>
            <w:widowControl w:val="0"/>
            <w:tabs>
              <w:tab w:val="right" w:leader="dot" w:pos="9355"/>
              <w:tab w:val="clear" w:pos="8296"/>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_Toc15127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二、正当防卫适用范围研判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_Toc15127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6"/>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_Toc12647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（一）非暴力犯罪的正当防卫</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6"/>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_Toc32127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（二） 主观过失下的正当防卫</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_Toc32127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4"/>
            <w:keepNext w:val="0"/>
            <w:keepLines w:val="0"/>
            <w:pageBreakBefore w:val="0"/>
            <w:widowControl w:val="0"/>
            <w:tabs>
              <w:tab w:val="right" w:leader="dot" w:pos="9355"/>
              <w:tab w:val="clear" w:pos="8296"/>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_Toc19341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三、正当防卫行为的认定考量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_Toc19341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6"/>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_Toc19475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（一）防卫结果分析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_Toc19475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6"/>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_Toc17755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（二）防卫人主观因素分析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_Toc17755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_Toc30757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1.非法侵权行为正在发生，非法侵害的危害程度越来越大。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_Toc30757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_Toc5715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2.违法行为仍在继续，但防卫者知道违法行为的损害程度已经减少。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_Toc5715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_Toc8409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3.违法行为持续发生，而防卫者对违法损害程度的改变无法明确。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_Toc8409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6"/>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_Toc30725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（三）防卫行为分析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_Toc30725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_Toc23673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1.分析防卫手段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_Toc23673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_Toc26492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2.分析防卫环境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_Toc26492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_Toc27404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3.分析双方力量比较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_Toc27404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4"/>
            <w:keepNext w:val="0"/>
            <w:keepLines w:val="0"/>
            <w:pageBreakBefore w:val="0"/>
            <w:widowControl w:val="0"/>
            <w:tabs>
              <w:tab w:val="right" w:leader="dot" w:pos="9355"/>
              <w:tab w:val="clear" w:pos="8296"/>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_Toc23369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总结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_Toc23369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4"/>
            <w:keepNext w:val="0"/>
            <w:keepLines w:val="0"/>
            <w:pageBreakBefore w:val="0"/>
            <w:widowControl w:val="0"/>
            <w:tabs>
              <w:tab w:val="right" w:leader="dot" w:pos="9355"/>
              <w:tab w:val="clear" w:pos="8296"/>
            </w:tabs>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_Toc23780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参考文献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_Toc23780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14"/>
            <w:keepNext w:val="0"/>
            <w:keepLines w:val="0"/>
            <w:pageBreakBefore w:val="0"/>
            <w:widowControl w:val="0"/>
            <w:tabs>
              <w:tab w:val="right" w:leader="dot" w:pos="9355"/>
              <w:tab w:val="clear" w:pos="8296"/>
            </w:tabs>
            <w:kinsoku/>
            <w:wordWrap/>
            <w:overflowPunct/>
            <w:topLinePunct w:val="0"/>
            <w:autoSpaceDE/>
            <w:autoSpaceDN/>
            <w:bidi w:val="0"/>
            <w:adjustRightInd/>
            <w:snapToGrid/>
            <w:textAlignment w:val="auto"/>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_Toc1257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致谢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spacing w:line="300" w:lineRule="auto"/>
            <w:jc w:val="center"/>
            <w:outlineLvl w:val="2"/>
            <w:rPr>
              <w:rFonts w:hint="eastAsia" w:ascii="黑体" w:hAnsi="黑体" w:eastAsia="黑体"/>
              <w:b/>
              <w:sz w:val="36"/>
              <w:szCs w:val="36"/>
            </w:rPr>
            <w:sectPr>
              <w:headerReference r:id="rId7" w:type="default"/>
              <w:footerReference r:id="rId8" w:type="default"/>
              <w:footnotePr>
                <w:numFmt w:val="decimalEnclosedCircleChinese"/>
                <w:numRestart w:val="eachPage"/>
              </w:footnotePr>
              <w:pgSz w:w="11906" w:h="16838"/>
              <w:pgMar w:top="1417" w:right="1134" w:bottom="1417" w:left="1134" w:header="851" w:footer="992" w:gutter="283"/>
              <w:pgBorders>
                <w:top w:val="none" w:sz="0" w:space="0"/>
                <w:left w:val="none" w:sz="0" w:space="0"/>
                <w:bottom w:val="none" w:sz="0" w:space="0"/>
                <w:right w:val="none" w:sz="0" w:space="0"/>
              </w:pgBorders>
              <w:pgNumType w:fmt="decimal" w:start="1"/>
              <w:cols w:space="720" w:num="1"/>
              <w:rtlGutter w:val="0"/>
              <w:docGrid w:type="lines" w:linePitch="312" w:charSpace="0"/>
            </w:sectPr>
          </w:pPr>
          <w:r>
            <w:rPr>
              <w:rFonts w:hint="eastAsia" w:ascii="黑体" w:hAnsi="黑体" w:eastAsia="黑体" w:cs="Times New Roman"/>
              <w:kern w:val="2"/>
              <w:szCs w:val="36"/>
              <w:lang w:val="en-US" w:eastAsia="zh-CN" w:bidi="ar-SA"/>
            </w:rPr>
            <w:fldChar w:fldCharType="end"/>
          </w:r>
        </w:p>
      </w:sdtContent>
    </w:sdt>
    <w:p>
      <w:pPr>
        <w:pStyle w:val="2"/>
        <w:bidi w:val="0"/>
        <w:ind w:left="0" w:leftChars="0" w:firstLine="0" w:firstLineChars="0"/>
        <w:jc w:val="center"/>
      </w:pPr>
      <w:bookmarkStart w:id="13" w:name="_Toc3058"/>
      <w:bookmarkStart w:id="14" w:name="_Toc5270"/>
      <w:r>
        <w:rPr>
          <w:rFonts w:hint="eastAsia"/>
        </w:rPr>
        <w:t>摘要</w:t>
      </w:r>
      <w:bookmarkEnd w:id="12"/>
      <w:bookmarkEnd w:id="13"/>
      <w:bookmarkEnd w:id="14"/>
    </w:p>
    <w:p>
      <w:pPr>
        <w:snapToGrid w:val="0"/>
        <w:spacing w:after="156" w:afterLines="50" w:line="300" w:lineRule="auto"/>
        <w:jc w:val="center"/>
        <w:rPr>
          <w:rFonts w:ascii="宋体" w:hAnsi="宋体"/>
          <w:sz w:val="24"/>
          <w:szCs w:val="24"/>
        </w:rPr>
      </w:pPr>
      <w:r>
        <w:rPr>
          <w:rFonts w:hint="eastAsia" w:eastAsia="黑体"/>
          <w:b/>
          <w:i/>
          <w:sz w:val="36"/>
          <w:szCs w:val="36"/>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ascii="宋体" w:hAnsi="宋体"/>
          <w:sz w:val="24"/>
          <w:szCs w:val="24"/>
        </w:rPr>
      </w:pPr>
      <w:r>
        <w:rPr>
          <w:rFonts w:hint="eastAsia" w:ascii="宋体" w:hAnsi="宋体"/>
          <w:sz w:val="24"/>
          <w:szCs w:val="24"/>
        </w:rPr>
        <w:t>正当防卫作为一种对非法侵害的阻碍手段，对维护社会公正和善治具有重要作用。《刑法》第20条第3款对“非过当”作出了明确的界定，方便确定在一些情形下自卫行为是否正当。目前的主流意见是把“非过当防卫”视为“特殊防卫”，如果将刑法第2</w:t>
      </w:r>
      <w:r>
        <w:rPr>
          <w:rFonts w:ascii="宋体" w:hAnsi="宋体"/>
          <w:sz w:val="24"/>
          <w:szCs w:val="24"/>
        </w:rPr>
        <w:t>0</w:t>
      </w:r>
      <w:r>
        <w:rPr>
          <w:rFonts w:hint="eastAsia" w:ascii="宋体" w:hAnsi="宋体"/>
          <w:sz w:val="24"/>
          <w:szCs w:val="24"/>
        </w:rPr>
        <w:t>条第3款规定作为特殊防卫使用，那么将会致使其司法适用范畴过于狭窄，会在判定上出现正当防卫人如果不在此规定列中便被认定为防卫过当，而且不论防卫人当时所处环境的影响，都一律排除在此规定之外，更没有明确的判定标准对防卫者和侵害者之间的细节因素进行分析，导致各法庭存在着同案异判的情况，而这显然违背了对于该制度的立法初衷。</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ascii="宋体" w:hAnsi="宋体"/>
          <w:bCs/>
          <w:sz w:val="24"/>
          <w:szCs w:val="24"/>
        </w:rPr>
      </w:pPr>
      <w:r>
        <w:rPr>
          <w:rFonts w:hint="eastAsia" w:ascii="宋体" w:hAnsi="宋体"/>
          <w:sz w:val="24"/>
          <w:szCs w:val="24"/>
        </w:rPr>
        <w:t>为走出司法实践的判定误区，本文对刑法第2</w:t>
      </w:r>
      <w:r>
        <w:rPr>
          <w:rFonts w:ascii="宋体" w:hAnsi="宋体"/>
          <w:sz w:val="24"/>
          <w:szCs w:val="24"/>
        </w:rPr>
        <w:t>0</w:t>
      </w:r>
      <w:r>
        <w:rPr>
          <w:rFonts w:hint="eastAsia" w:ascii="宋体" w:hAnsi="宋体"/>
          <w:sz w:val="24"/>
          <w:szCs w:val="24"/>
        </w:rPr>
        <w:t>条第3款深入研究，从研究正当防卫目前存在的问题出发，对条文争议、司法适用范畴过于狭窄、防卫限度中要件因素判定不明展开研究，大胆拓展该条款的适用罪行，不否认存在防御者在防卫情形中发生的不可控因素等原因对事件整体的影响。针对关键问题多角度分析，对手段、环境、力量等各构成要件进行关联比较，梳理其中要点对结果的影响，形成一套防卫者是正当或非正当的防卫认定标准，实现对其进行积极抗辩的法律目的。</w:t>
      </w:r>
    </w:p>
    <w:p>
      <w:pPr>
        <w:snapToGrid w:val="0"/>
        <w:spacing w:line="300" w:lineRule="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auto"/>
        <w:ind w:firstLine="562" w:firstLineChars="200"/>
        <w:textAlignment w:val="auto"/>
        <w:rPr>
          <w:rFonts w:eastAsia="楷体_GB2312"/>
          <w:sz w:val="24"/>
          <w:szCs w:val="24"/>
        </w:rPr>
      </w:pPr>
      <w:r>
        <w:rPr>
          <w:rFonts w:ascii="宋体" w:hAnsi="宋体"/>
          <w:b/>
          <w:sz w:val="28"/>
          <w:szCs w:val="24"/>
        </w:rPr>
        <w:t>关键词：</w:t>
      </w:r>
      <w:r>
        <w:rPr>
          <w:rFonts w:ascii="宋体" w:hAnsi="宋体"/>
          <w:sz w:val="24"/>
          <w:szCs w:val="24"/>
        </w:rPr>
        <w:t>正当防卫</w:t>
      </w:r>
      <w:r>
        <w:rPr>
          <w:rFonts w:hint="eastAsia" w:ascii="宋体" w:hAnsi="宋体"/>
          <w:sz w:val="24"/>
          <w:szCs w:val="24"/>
        </w:rPr>
        <w:t>；条款分析；</w:t>
      </w:r>
      <w:r>
        <w:rPr>
          <w:rFonts w:ascii="宋体" w:hAnsi="宋体"/>
          <w:sz w:val="24"/>
          <w:szCs w:val="24"/>
        </w:rPr>
        <w:t>防卫</w:t>
      </w:r>
      <w:r>
        <w:rPr>
          <w:rFonts w:hint="eastAsia" w:ascii="宋体" w:hAnsi="宋体"/>
          <w:sz w:val="24"/>
          <w:szCs w:val="24"/>
        </w:rPr>
        <w:t>因素；</w:t>
      </w:r>
      <w:r>
        <w:rPr>
          <w:rFonts w:ascii="宋体" w:hAnsi="宋体"/>
          <w:sz w:val="24"/>
          <w:szCs w:val="24"/>
        </w:rPr>
        <w:t>防卫</w:t>
      </w:r>
      <w:r>
        <w:rPr>
          <w:rFonts w:hint="eastAsia" w:ascii="宋体" w:hAnsi="宋体"/>
          <w:sz w:val="24"/>
          <w:szCs w:val="24"/>
        </w:rPr>
        <w:t>认定；</w:t>
      </w:r>
      <w:r>
        <w:rPr>
          <w:rFonts w:ascii="宋体" w:hAnsi="宋体"/>
          <w:sz w:val="24"/>
          <w:szCs w:val="24"/>
        </w:rPr>
        <w:t>防卫限度</w:t>
      </w:r>
    </w:p>
    <w:p>
      <w:pPr>
        <w:snapToGrid w:val="0"/>
        <w:spacing w:line="360" w:lineRule="auto"/>
        <w:rPr>
          <w:rFonts w:ascii="宋体"/>
          <w:sz w:val="28"/>
        </w:rPr>
      </w:pPr>
    </w:p>
    <w:p>
      <w:pPr>
        <w:snapToGrid w:val="0"/>
        <w:spacing w:line="360" w:lineRule="auto"/>
        <w:rPr>
          <w:rFonts w:eastAsia="黑体"/>
          <w:b/>
          <w:i/>
          <w:sz w:val="32"/>
          <w:u w:val="single"/>
        </w:rPr>
      </w:pPr>
      <w:r>
        <w:rPr>
          <w:rFonts w:hint="eastAsia" w:eastAsia="黑体"/>
          <w:b/>
          <w:i/>
          <w:sz w:val="28"/>
        </w:rPr>
        <w:t xml:space="preserve"> </w:t>
      </w:r>
    </w:p>
    <w:p>
      <w:pPr>
        <w:spacing w:line="120" w:lineRule="atLeast"/>
        <w:rPr>
          <w:sz w:val="24"/>
        </w:rPr>
      </w:pPr>
    </w:p>
    <w:p>
      <w:pPr>
        <w:pStyle w:val="3"/>
        <w:spacing w:line="300" w:lineRule="auto"/>
        <w:jc w:val="center"/>
        <w:rPr>
          <w:rFonts w:eastAsia="黑体"/>
          <w:i/>
          <w:sz w:val="36"/>
          <w:szCs w:val="36"/>
          <w:u w:val="single"/>
        </w:rPr>
      </w:pPr>
      <w:r>
        <w:br w:type="page"/>
      </w:r>
      <w:bookmarkStart w:id="15" w:name="_Toc1688"/>
      <w:bookmarkStart w:id="16" w:name="_Toc20417"/>
      <w:bookmarkStart w:id="17" w:name="_Toc20065"/>
      <w:r>
        <w:rPr>
          <w:rFonts w:ascii="Times New Roman" w:hAnsi="Times New Roman" w:eastAsia="黑体"/>
          <w:sz w:val="36"/>
          <w:szCs w:val="36"/>
        </w:rPr>
        <w:t>Abstract</w:t>
      </w:r>
      <w:bookmarkEnd w:id="15"/>
      <w:bookmarkEnd w:id="16"/>
      <w:bookmarkEnd w:id="17"/>
    </w:p>
    <w:p>
      <w:pPr>
        <w:snapToGrid w:val="0"/>
        <w:spacing w:line="300" w:lineRule="auto"/>
        <w:ind w:firstLine="480" w:firstLineChars="200"/>
        <w:rPr>
          <w:rFonts w:ascii="Times New Roman" w:hAnsi="Times New Roman"/>
          <w:sz w:val="24"/>
          <w:szCs w:val="24"/>
        </w:rPr>
      </w:pPr>
      <w:r>
        <w:rPr>
          <w:rFonts w:hint="eastAsia" w:ascii="Times New Roman" w:hAnsi="Times New Roman"/>
          <w:sz w:val="24"/>
          <w:szCs w:val="24"/>
        </w:rPr>
        <w:t>As a hindrance to illegal infringement, justifiable defense plays an important role in safeguarding social justice and good governance. Article 20, paragraph 3, of the Criminal Code clearly defines "non-disproportionate" and facilitates the determination of the justification of acts of self-defence in certain circumstances. If the third paragraph of Article 20 of the Criminal Law is used as special defense, the scope of judicial application will be too narrow, and the justifiable defender will be determined as unjustifiable if it is not included in this provision.</w:t>
      </w:r>
    </w:p>
    <w:p>
      <w:pPr>
        <w:snapToGrid w:val="0"/>
        <w:spacing w:line="300" w:lineRule="auto"/>
        <w:ind w:firstLine="480" w:firstLineChars="200"/>
        <w:rPr>
          <w:rFonts w:ascii="Times New Roman" w:hAnsi="Times New Roman"/>
          <w:sz w:val="24"/>
          <w:szCs w:val="24"/>
        </w:rPr>
      </w:pPr>
      <w:r>
        <w:rPr>
          <w:rFonts w:hint="eastAsia" w:ascii="Times New Roman" w:hAnsi="Times New Roman"/>
          <w:sz w:val="24"/>
          <w:szCs w:val="24"/>
        </w:rPr>
        <w:t>In order to get rid of the misunderstanding of judicial practice, this paper makes an in-depth study of Paragraph 3 of Article 20 of the Criminal Law, and, starting from the study of the existing problems of justifiable defense, studies the dispute over the limit conditions, the too narrow scope of judicial application, and the unclear determination of the elements in the defense limit, boldly expands the applicable crime of this provision, and does not deny the influence of uncontrollable factors that occur in the defense situation on the whole event. Based on the analysis of the key issues, this paper compares the elements of means, environment and power, and sorts out the impact of the key points on the results, so as to form a set of defense recognition standards for justifiable or illegitimate defenders and realize the legal goal of active defense.</w:t>
      </w:r>
    </w:p>
    <w:p>
      <w:pPr>
        <w:snapToGrid w:val="0"/>
        <w:spacing w:line="300" w:lineRule="auto"/>
        <w:rPr>
          <w:rFonts w:ascii="Times New Roman" w:hAnsi="Times New Roman"/>
          <w:sz w:val="24"/>
          <w:szCs w:val="24"/>
        </w:rPr>
      </w:pPr>
    </w:p>
    <w:p>
      <w:pPr>
        <w:snapToGrid w:val="0"/>
        <w:spacing w:line="300" w:lineRule="auto"/>
        <w:ind w:firstLine="562" w:firstLineChars="200"/>
        <w:rPr>
          <w:rFonts w:ascii="Times New Roman" w:hAnsi="Times New Roman"/>
          <w:sz w:val="24"/>
          <w:szCs w:val="24"/>
        </w:rPr>
      </w:pPr>
      <w:r>
        <w:rPr>
          <w:rFonts w:ascii="Times New Roman" w:hAnsi="Times New Roman"/>
          <w:b/>
          <w:sz w:val="28"/>
        </w:rPr>
        <mc:AlternateContent>
          <mc:Choice Requires="wps">
            <w:drawing>
              <wp:anchor distT="0" distB="0" distL="114300" distR="114300" simplePos="0" relativeHeight="251659264" behindDoc="0" locked="0" layoutInCell="1" allowOverlap="1">
                <wp:simplePos x="0" y="0"/>
                <wp:positionH relativeFrom="column">
                  <wp:posOffset>6858000</wp:posOffset>
                </wp:positionH>
                <wp:positionV relativeFrom="paragraph">
                  <wp:posOffset>240665</wp:posOffset>
                </wp:positionV>
                <wp:extent cx="0" cy="431800"/>
                <wp:effectExtent l="48895" t="0" r="65405" b="6350"/>
                <wp:wrapNone/>
                <wp:docPr id="4" name="直线 36"/>
                <wp:cNvGraphicFramePr/>
                <a:graphic xmlns:a="http://schemas.openxmlformats.org/drawingml/2006/main">
                  <a:graphicData uri="http://schemas.microsoft.com/office/word/2010/wordprocessingShape">
                    <wps:wsp>
                      <wps:cNvCnPr/>
                      <wps:spPr>
                        <a:xfrm>
                          <a:off x="0" y="0"/>
                          <a:ext cx="0" cy="431800"/>
                        </a:xfrm>
                        <a:prstGeom prst="line">
                          <a:avLst/>
                        </a:prstGeom>
                        <a:ln w="9525" cap="flat" cmpd="sng">
                          <a:solidFill>
                            <a:srgbClr val="000000"/>
                          </a:solidFill>
                          <a:prstDash val="solid"/>
                          <a:headEnd type="arrow" w="med" len="sm"/>
                          <a:tailEnd type="none" w="med" len="med"/>
                        </a:ln>
                      </wps:spPr>
                      <wps:bodyPr upright="1"/>
                    </wps:wsp>
                  </a:graphicData>
                </a:graphic>
              </wp:anchor>
            </w:drawing>
          </mc:Choice>
          <mc:Fallback>
            <w:pict>
              <v:line id="直线 36" o:spid="_x0000_s1026" o:spt="20" style="position:absolute;left:0pt;margin-left:540pt;margin-top:18.95pt;height:34pt;width:0pt;z-index:251659264;mso-width-relative:page;mso-height-relative:page;" filled="f" stroked="t" coordsize="21600,21600" o:gfxdata="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sdBTXXAAAADAEAAA8AAAAAAAAAAQAgAAAAIgAAAGRycy9kb3ducmV2LnhtbFBLAQIUABQAAAAI&#10;AIdO4kAs6w7R7gEAANsDAAAOAAAAAAAAAAEAIAAAACYBAABkcnMvZTJvRG9jLnhtbFBLBQYAAAAA&#10;BgAGAFkBAACGBQAAAAA=&#10;">
                <v:fill on="f" focussize="0,0"/>
                <v:stroke color="#000000" joinstyle="round" startarrow="open" startarrowlength="short"/>
                <v:imagedata o:title=""/>
                <o:lock v:ext="edit" aspectratio="f"/>
              </v:line>
            </w:pict>
          </mc:Fallback>
        </mc:AlternateContent>
      </w:r>
      <w:r>
        <w:rPr>
          <w:rFonts w:ascii="Times New Roman" w:hAnsi="Times New Roman"/>
          <w:b/>
          <w:sz w:val="28"/>
        </w:rPr>
        <w:t>Key words</w:t>
      </w:r>
      <w:r>
        <w:rPr>
          <w:rFonts w:ascii="Times New Roman"/>
          <w:b/>
          <w:sz w:val="28"/>
        </w:rPr>
        <w:t>：</w:t>
      </w:r>
      <w:r>
        <w:rPr>
          <w:rFonts w:ascii="Times New Roman" w:hAnsi="Times New Roman"/>
          <w:sz w:val="24"/>
          <w:szCs w:val="24"/>
        </w:rPr>
        <w:t>J</w:t>
      </w:r>
      <w:r>
        <w:rPr>
          <w:rFonts w:hint="eastAsia" w:ascii="Times New Roman" w:hAnsi="Times New Roman"/>
          <w:sz w:val="24"/>
          <w:szCs w:val="24"/>
        </w:rPr>
        <w:t xml:space="preserve">ustifiable </w:t>
      </w:r>
      <w:r>
        <w:rPr>
          <w:rFonts w:ascii="Times New Roman" w:hAnsi="Times New Roman"/>
          <w:sz w:val="24"/>
          <w:szCs w:val="24"/>
        </w:rPr>
        <w:t>D</w:t>
      </w:r>
      <w:r>
        <w:rPr>
          <w:rFonts w:hint="eastAsia" w:ascii="Times New Roman" w:hAnsi="Times New Roman"/>
          <w:sz w:val="24"/>
          <w:szCs w:val="24"/>
        </w:rPr>
        <w:t>efense；</w:t>
      </w:r>
      <w:r>
        <w:rPr>
          <w:rFonts w:ascii="Times New Roman" w:hAnsi="Times New Roman"/>
          <w:sz w:val="24"/>
          <w:szCs w:val="24"/>
        </w:rPr>
        <w:t>C</w:t>
      </w:r>
      <w:r>
        <w:rPr>
          <w:rFonts w:hint="eastAsia" w:ascii="Times New Roman" w:hAnsi="Times New Roman"/>
          <w:sz w:val="24"/>
          <w:szCs w:val="24"/>
        </w:rPr>
        <w:t xml:space="preserve">lause </w:t>
      </w:r>
      <w:r>
        <w:rPr>
          <w:rFonts w:ascii="Times New Roman" w:hAnsi="Times New Roman"/>
          <w:sz w:val="24"/>
          <w:szCs w:val="24"/>
        </w:rPr>
        <w:t>A</w:t>
      </w:r>
      <w:r>
        <w:rPr>
          <w:rFonts w:hint="eastAsia" w:ascii="Times New Roman" w:hAnsi="Times New Roman"/>
          <w:sz w:val="24"/>
          <w:szCs w:val="24"/>
        </w:rPr>
        <w:t>nalysis；</w:t>
      </w:r>
      <w:r>
        <w:rPr>
          <w:rFonts w:ascii="Times New Roman" w:hAnsi="Times New Roman"/>
          <w:sz w:val="24"/>
          <w:szCs w:val="24"/>
        </w:rPr>
        <w:t>D</w:t>
      </w:r>
      <w:r>
        <w:rPr>
          <w:rFonts w:hint="eastAsia" w:ascii="Times New Roman" w:hAnsi="Times New Roman"/>
          <w:sz w:val="24"/>
          <w:szCs w:val="24"/>
        </w:rPr>
        <w:t xml:space="preserve">efense </w:t>
      </w:r>
      <w:r>
        <w:rPr>
          <w:rFonts w:ascii="Times New Roman" w:hAnsi="Times New Roman"/>
          <w:sz w:val="24"/>
          <w:szCs w:val="24"/>
        </w:rPr>
        <w:t>F</w:t>
      </w:r>
      <w:r>
        <w:rPr>
          <w:rFonts w:hint="eastAsia" w:ascii="Times New Roman" w:hAnsi="Times New Roman"/>
          <w:sz w:val="24"/>
          <w:szCs w:val="24"/>
        </w:rPr>
        <w:t>actor；</w:t>
      </w:r>
      <w:r>
        <w:rPr>
          <w:rFonts w:ascii="Times New Roman" w:hAnsi="Times New Roman"/>
          <w:sz w:val="24"/>
          <w:szCs w:val="24"/>
        </w:rPr>
        <w:t>D</w:t>
      </w:r>
      <w:r>
        <w:rPr>
          <w:rFonts w:hint="eastAsia" w:ascii="Times New Roman" w:hAnsi="Times New Roman"/>
          <w:sz w:val="24"/>
          <w:szCs w:val="24"/>
        </w:rPr>
        <w:t xml:space="preserve">efense </w:t>
      </w:r>
      <w:r>
        <w:rPr>
          <w:rFonts w:ascii="Times New Roman" w:hAnsi="Times New Roman"/>
          <w:sz w:val="24"/>
          <w:szCs w:val="24"/>
        </w:rPr>
        <w:t>C</w:t>
      </w:r>
      <w:r>
        <w:rPr>
          <w:rFonts w:hint="eastAsia" w:ascii="Times New Roman" w:hAnsi="Times New Roman"/>
          <w:sz w:val="24"/>
          <w:szCs w:val="24"/>
        </w:rPr>
        <w:t>ognizance；</w:t>
      </w:r>
      <w:r>
        <w:rPr>
          <w:rFonts w:ascii="Times New Roman" w:hAnsi="Times New Roman"/>
          <w:sz w:val="24"/>
          <w:szCs w:val="24"/>
        </w:rPr>
        <w:t>D</w:t>
      </w:r>
      <w:r>
        <w:rPr>
          <w:rFonts w:hint="eastAsia" w:ascii="Times New Roman" w:hAnsi="Times New Roman"/>
          <w:sz w:val="24"/>
          <w:szCs w:val="24"/>
        </w:rPr>
        <w:t xml:space="preserve">efense </w:t>
      </w:r>
      <w:r>
        <w:rPr>
          <w:rFonts w:ascii="Times New Roman" w:hAnsi="Times New Roman"/>
          <w:sz w:val="24"/>
          <w:szCs w:val="24"/>
        </w:rPr>
        <w:t>L</w:t>
      </w:r>
      <w:r>
        <w:rPr>
          <w:rFonts w:hint="eastAsia" w:ascii="Times New Roman" w:hAnsi="Times New Roman"/>
          <w:sz w:val="24"/>
          <w:szCs w:val="24"/>
        </w:rPr>
        <w:t>imit</w:t>
      </w:r>
    </w:p>
    <w:p>
      <w:pPr>
        <w:snapToGrid w:val="0"/>
        <w:spacing w:line="300" w:lineRule="auto"/>
        <w:ind w:firstLine="480" w:firstLineChars="200"/>
        <w:rPr>
          <w:rFonts w:ascii="Times New Roman" w:hAnsi="Times New Roman"/>
          <w:sz w:val="24"/>
          <w:szCs w:val="24"/>
          <w:highlight w:val="yellow"/>
        </w:rPr>
      </w:pPr>
    </w:p>
    <w:p>
      <w:pPr>
        <w:snapToGrid w:val="0"/>
        <w:spacing w:line="300" w:lineRule="auto"/>
        <w:ind w:firstLine="480" w:firstLineChars="200"/>
        <w:rPr>
          <w:rFonts w:ascii="Times New Roman" w:hAnsi="Times New Roman"/>
          <w:sz w:val="24"/>
          <w:szCs w:val="20"/>
        </w:rPr>
      </w:pPr>
    </w:p>
    <w:p>
      <w:pPr>
        <w:spacing w:line="120" w:lineRule="atLeast"/>
        <w:rPr>
          <w:b/>
          <w:spacing w:val="10"/>
          <w:sz w:val="28"/>
        </w:rPr>
      </w:pPr>
    </w:p>
    <w:p>
      <w:pPr>
        <w:widowControl/>
        <w:spacing w:line="300" w:lineRule="auto"/>
        <w:jc w:val="left"/>
        <w:rPr>
          <w:rFonts w:ascii="宋体" w:hAnsi="宋体"/>
          <w:sz w:val="24"/>
          <w:szCs w:val="24"/>
        </w:rPr>
        <w:sectPr>
          <w:footerReference r:id="rId9" w:type="default"/>
          <w:footnotePr>
            <w:numFmt w:val="decimalEnclosedCircleChinese"/>
            <w:numRestart w:val="eachPage"/>
          </w:footnotePr>
          <w:pgSz w:w="11906" w:h="16838"/>
          <w:pgMar w:top="1417" w:right="1134" w:bottom="1417" w:left="1134" w:header="851" w:footer="992" w:gutter="283"/>
          <w:pgBorders>
            <w:top w:val="none" w:sz="0" w:space="0"/>
            <w:left w:val="none" w:sz="0" w:space="0"/>
            <w:bottom w:val="none" w:sz="0" w:space="0"/>
            <w:right w:val="none" w:sz="0" w:space="0"/>
          </w:pgBorders>
          <w:pgNumType w:fmt="upperRoman" w:start="1"/>
          <w:cols w:space="720" w:num="1"/>
          <w:rtlGutter w:val="0"/>
          <w:docGrid w:type="lines" w:linePitch="312" w:charSpace="0"/>
        </w:sectPr>
      </w:pPr>
      <w:r>
        <w:rPr>
          <w:rFonts w:ascii="宋体" w:hAnsi="宋体"/>
          <w:b/>
          <w:snapToGrid w:val="0"/>
          <w:kern w:val="0"/>
          <w:sz w:val="32"/>
        </w:rPr>
        <w:br w:type="page"/>
      </w:r>
    </w:p>
    <w:p>
      <w:pPr>
        <w:pStyle w:val="5"/>
        <w:bidi w:val="0"/>
        <w:ind w:left="0" w:leftChars="0" w:firstLine="0" w:firstLineChars="0"/>
        <w:jc w:val="center"/>
      </w:pPr>
      <w:bookmarkStart w:id="18" w:name="_Toc3273"/>
      <w:bookmarkStart w:id="19" w:name="_Toc27279"/>
      <w:bookmarkStart w:id="20" w:name="_Toc11942"/>
      <w:bookmarkStart w:id="21" w:name="_Ref127453510"/>
      <w:bookmarkStart w:id="22" w:name="_Toc513160293"/>
      <w:r>
        <w:rPr>
          <w:rFonts w:hint="eastAsia"/>
        </w:rPr>
        <w:t>引言</w:t>
      </w:r>
      <w:bookmarkEnd w:id="18"/>
      <w:bookmarkEnd w:id="19"/>
      <w:bookmarkEnd w:id="20"/>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bookmarkStart w:id="23" w:name="_Toc6532"/>
      <w:r>
        <w:rPr>
          <w:rFonts w:hint="eastAsia" w:ascii="宋体" w:hAnsi="宋体" w:eastAsia="宋体" w:cs="宋体"/>
        </w:rPr>
        <w:t>正当防卫作为国家刑事法律体系中的一项重大内容，对国家法律制度产生了深远的影响，是保护人民群众合法权益、制止不法行为、维持社会治安的关键。1997年《刑法》新增第20条第3款规定：“行凶杀人、抢劫、强奸、绑架”时，防卫致人死亡是正当的。但是由于其抽象和概括性，对于第3款的性质，存在着特殊条款说和注意条款说两种不同的观点，一种认为这是一条特殊条款，认为防卫者在规定罪行内可以超出限度而造成别人的生命死亡</w:t>
      </w:r>
      <w:r>
        <w:rPr>
          <w:rStyle w:val="24"/>
          <w:rFonts w:hint="eastAsia" w:ascii="宋体" w:hAnsi="宋体" w:eastAsia="宋体" w:cs="宋体"/>
          <w:bCs/>
          <w:szCs w:val="24"/>
        </w:rPr>
        <w:footnoteReference w:id="0"/>
      </w:r>
      <w:r>
        <w:rPr>
          <w:rFonts w:hint="eastAsia" w:ascii="宋体" w:hAnsi="宋体" w:eastAsia="宋体" w:cs="宋体"/>
        </w:rPr>
        <w:t>；另一种认为，该款是一条注意条款，是对防卫限度的及时补充说明，而非对被害人的限制条件</w:t>
      </w:r>
      <w:r>
        <w:rPr>
          <w:rStyle w:val="24"/>
          <w:rFonts w:hint="eastAsia" w:ascii="宋体" w:hAnsi="宋体" w:eastAsia="宋体" w:cs="宋体"/>
          <w:bCs/>
          <w:szCs w:val="24"/>
        </w:rPr>
        <w:footnoteReference w:id="1"/>
      </w:r>
      <w:r>
        <w:rPr>
          <w:rFonts w:hint="eastAsia" w:ascii="宋体" w:hAnsi="宋体" w:eastAsia="宋体" w:cs="宋体"/>
        </w:rPr>
        <w:t>。观点上的差异使其在实务中产生了分歧。现在，人们更倾向于特殊条款说，但是，若把它作为一种特殊条款来看待，会使其在实际适用中陷入认识上的误区，只要侵权行为的种类不在第3款列中，防卫人造成人身伤害，都要负刑事责任，这就大大地制约了防卫者的自我保护意识，进而妨碍了实施。</w:t>
      </w:r>
      <w:bookmarkEnd w:id="21"/>
      <w:bookmarkEnd w:id="22"/>
      <w:r>
        <w:rPr>
          <w:rFonts w:hint="eastAsia" w:ascii="宋体" w:hAnsi="宋体" w:eastAsia="宋体" w:cs="宋体"/>
        </w:rPr>
        <w:t>邹兵建教授就防卫行为的确定标准展开过说法，他认为关于防御过程的限度判断应该从防御者真实损伤能力谨慎判别，根据各方面因素综合判断</w:t>
      </w:r>
      <w:r>
        <w:rPr>
          <w:rStyle w:val="24"/>
          <w:rFonts w:hint="eastAsia" w:ascii="宋体" w:hAnsi="宋体" w:eastAsia="宋体" w:cs="宋体"/>
          <w:bCs/>
          <w:szCs w:val="24"/>
        </w:rPr>
        <w:footnoteReference w:id="2"/>
      </w:r>
      <w:r>
        <w:rPr>
          <w:rFonts w:hint="eastAsia" w:ascii="宋体" w:hAnsi="宋体" w:eastAsia="宋体" w:cs="宋体"/>
        </w:rPr>
        <w:t>。其实，两者并非是相互冲突的，而是存在着某种关联。在界定义务的时候，应当从侵害人和防卫人的角度进行对比。在比较双方使用工具、人数、体格、现场的情况下，可以充分地判断双方的自我防卫需求与等价关系，确保对双方的判断客观，避免双方在对防卫的判断上太死板，以保障双方的正当权利。</w:t>
      </w:r>
      <w:bookmarkEnd w:id="23"/>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spacing w:line="300" w:lineRule="auto"/>
        <w:ind w:firstLine="480" w:firstLineChars="200"/>
        <w:outlineLvl w:val="9"/>
        <w:rPr>
          <w:rFonts w:ascii="宋体" w:hAnsi="宋体"/>
          <w:bCs/>
          <w:sz w:val="24"/>
          <w:szCs w:val="24"/>
        </w:rPr>
      </w:pPr>
    </w:p>
    <w:p>
      <w:pPr>
        <w:pStyle w:val="3"/>
        <w:bidi w:val="0"/>
        <w:rPr>
          <w:rFonts w:hint="eastAsia"/>
        </w:rPr>
      </w:pPr>
      <w:bookmarkStart w:id="24" w:name="_Toc23096"/>
      <w:bookmarkStart w:id="25" w:name="_Toc17193"/>
      <w:bookmarkStart w:id="26" w:name="_Toc3561"/>
      <w:r>
        <w:rPr>
          <w:rFonts w:hint="eastAsia"/>
          <w:lang w:val="en-US" w:eastAsia="zh-CN"/>
        </w:rPr>
        <w:t>一、</w:t>
      </w:r>
      <w:r>
        <w:rPr>
          <w:rFonts w:hint="eastAsia"/>
        </w:rPr>
        <w:t>正当防卫的必要限度辨析</w:t>
      </w:r>
      <w:bookmarkEnd w:id="24"/>
      <w:bookmarkEnd w:id="25"/>
      <w:bookmarkEnd w:id="26"/>
    </w:p>
    <w:p>
      <w:pPr>
        <w:pStyle w:val="4"/>
        <w:numPr>
          <w:ilvl w:val="0"/>
          <w:numId w:val="1"/>
        </w:numPr>
        <w:bidi w:val="0"/>
        <w:rPr>
          <w:rFonts w:hint="eastAsia"/>
        </w:rPr>
      </w:pPr>
      <w:bookmarkStart w:id="27" w:name="_Toc27765"/>
      <w:bookmarkStart w:id="28" w:name="_Toc19337"/>
      <w:r>
        <w:rPr>
          <w:rFonts w:hint="eastAsia"/>
        </w:rPr>
        <w:t>刑法第20条第3款的性质争论</w:t>
      </w:r>
      <w:bookmarkEnd w:id="27"/>
      <w:bookmarkEnd w:id="28"/>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刑法》第20条第3款规定了“非过当防卫”的暴力犯罪类型，以激励防卫人积极为保护自身正当权益而采取行动。然而对于该条文的本质问题一直存在争议，普遍观点认为这是一种特殊条款，属于特殊的防卫措施，即违法行为人实施了第3款所列的罪行</w:t>
      </w:r>
      <w:r>
        <w:rPr>
          <w:rStyle w:val="24"/>
          <w:rFonts w:hint="eastAsia" w:ascii="宋体" w:hAnsi="宋体" w:eastAsia="宋体" w:cs="宋体"/>
          <w:bCs/>
          <w:sz w:val="24"/>
          <w:szCs w:val="24"/>
        </w:rPr>
        <w:footnoteReference w:id="3"/>
      </w:r>
      <w:r>
        <w:rPr>
          <w:rFonts w:hint="eastAsia" w:ascii="宋体" w:hAnsi="宋体" w:eastAsia="宋体" w:cs="宋体"/>
          <w:bCs/>
          <w:sz w:val="24"/>
          <w:szCs w:val="24"/>
        </w:rPr>
        <w:t xml:space="preserve">，则可以使防卫人超出其防卫的必要限度，使侵权人受到损害。但是，在违法行为人实施了第3款规定之外的违法行为时，防卫人因自卫而致侵权人身体伤亡的，就应承担刑事责任。有部分人表示，这一段是对《刑法》第二十条第1款的补充条款。对其所需的限度予以适当的审议，而不应局限在第3款所述的暴力罪行上。目前，在我国的司法实践中，对第3款规定多以特殊条款来优先使用，对于审理致人伤亡的案件直接以第3款作为依据，重视对结果的性质认定，忽视了防卫因素的实质性分析，也就是说，如果违法行为人的侵权行为是属于第3款所述情形，那么，法庭在给防卫人认定上将依照“特殊防卫”原则免除其刑事处罚。 </w:t>
      </w:r>
    </w:p>
    <w:p>
      <w:pPr>
        <w:pStyle w:val="4"/>
        <w:numPr>
          <w:ilvl w:val="0"/>
          <w:numId w:val="1"/>
        </w:numPr>
        <w:bidi w:val="0"/>
        <w:rPr>
          <w:rFonts w:hint="eastAsia"/>
        </w:rPr>
      </w:pPr>
      <w:bookmarkStart w:id="29" w:name="_Toc7004"/>
      <w:bookmarkStart w:id="30" w:name="_Toc26556"/>
      <w:r>
        <w:rPr>
          <w:rFonts w:hint="eastAsia"/>
        </w:rPr>
        <w:t>司法实践中对刑法第20条第3款的运用</w:t>
      </w:r>
      <w:bookmarkEnd w:id="29"/>
      <w:bookmarkEnd w:id="30"/>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目前，司法在实务中如果将第3款的条文性质作为特殊条款优先的话，将会导致致人伤亡的防卫案件中防卫行为判定只能局限在条款内所列的规定，并且大多数情况下会被以过当防卫论处。而在第3款暴力犯罪类型规定之外的违法行为，难以直接确认其具有“无过当防卫权”，在司法认定范围上往往过于狭窄，如果违法行为人的违法行为在规定的犯罪类型内，防卫人则可以无限防卫甚至致人伤亡也不影响正当防卫的成立，但违法行为人的违法行为不在规定的犯罪类型内，或者非暴力行为但其损害的程度与个人的生命危险相等，甚至上升到危害国家安全等不法行为，防卫者的自卫只能依照第1款中的“普通正当自卫”来进行防御，而将自卫致人伤亡的情况应用于第2款，构成了防卫过当，导致了“入罪”的倾向严重。为了充分利用《刑法》第20条第3款规定的权利，促使自卫主体主动维护自己的正当利益，应当从改变当前在司法实务中对第3款的运用上出现的错误理解入手。</w:t>
      </w:r>
    </w:p>
    <w:p>
      <w:pPr>
        <w:pStyle w:val="3"/>
        <w:bidi w:val="0"/>
        <w:rPr>
          <w:rFonts w:hint="eastAsia"/>
        </w:rPr>
      </w:pPr>
      <w:bookmarkStart w:id="31" w:name="_Toc15127"/>
      <w:bookmarkStart w:id="32" w:name="_Toc3157"/>
      <w:bookmarkStart w:id="33" w:name="_Toc252"/>
      <w:r>
        <w:rPr>
          <w:rFonts w:hint="eastAsia"/>
        </w:rPr>
        <w:t>二、正当防卫适用范围研判</w:t>
      </w:r>
      <w:bookmarkEnd w:id="31"/>
      <w:bookmarkEnd w:id="32"/>
      <w:bookmarkEnd w:id="33"/>
    </w:p>
    <w:p>
      <w:pPr>
        <w:pStyle w:val="4"/>
        <w:bidi w:val="0"/>
        <w:rPr>
          <w:rFonts w:hint="eastAsia"/>
        </w:rPr>
      </w:pPr>
      <w:bookmarkStart w:id="34" w:name="_Toc12647"/>
      <w:bookmarkStart w:id="35" w:name="_Toc17215"/>
      <w:r>
        <w:rPr>
          <w:rFonts w:hint="eastAsia"/>
        </w:rPr>
        <w:t>（一）非暴力犯罪的正当防卫</w:t>
      </w:r>
      <w:bookmarkEnd w:id="34"/>
      <w:bookmarkEnd w:id="35"/>
    </w:p>
    <w:p>
      <w:pPr>
        <w:spacing w:line="300" w:lineRule="auto"/>
        <w:outlineLvl w:val="9"/>
      </w:pPr>
      <w:r>
        <w:rPr>
          <w:rFonts w:hint="eastAsia" w:ascii="宋体" w:hAnsi="宋体" w:eastAsia="宋体" w:cs="宋体"/>
          <w:bCs/>
          <w:sz w:val="24"/>
          <w:szCs w:val="24"/>
        </w:rPr>
        <w:t>扩展自卫伤害构成正当自卫的范畴，不局限于条款内所列举的暴力罪行。将违法侵害的防卫权利限制于第3款中的暴力犯罪，从而造成了对非暴力罪的法律规范的缺位。诸如此类话题，应对防御行为的正当形式，从本身的行为准则或社会朝纲伦理等多角度解析</w:t>
      </w:r>
      <w:r>
        <w:rPr>
          <w:rStyle w:val="24"/>
          <w:rFonts w:hint="eastAsia" w:ascii="宋体" w:hAnsi="宋体" w:eastAsia="宋体" w:cs="宋体"/>
          <w:bCs/>
          <w:sz w:val="24"/>
          <w:szCs w:val="24"/>
        </w:rPr>
        <w:footnoteReference w:id="4"/>
      </w:r>
      <w:r>
        <w:rPr>
          <w:rFonts w:hint="eastAsia" w:ascii="宋体" w:hAnsi="宋体" w:eastAsia="宋体" w:cs="宋体"/>
          <w:bCs/>
          <w:sz w:val="24"/>
          <w:szCs w:val="24"/>
        </w:rPr>
        <w:t>。非暴力的罪行，也会带来非常可怕的结果。任何侵害了人民群众的正当权利，即便不构成</w:t>
      </w:r>
    </w:p>
    <w:p>
      <w:pPr>
        <w:rPr>
          <w:rFonts w:hint="eastAsia" w:ascii="黑体" w:eastAsia="黑体"/>
          <w:sz w:val="36"/>
        </w:rPr>
      </w:pPr>
      <w:bookmarkStart w:id="36" w:name="_Toc30658"/>
      <w:bookmarkStart w:id="37" w:name="_Toc1132"/>
      <w:r>
        <w:rPr>
          <w:rFonts w:hint="eastAsia" w:ascii="黑体" w:eastAsia="黑体"/>
          <w:sz w:val="36"/>
        </w:rPr>
        <w:br w:type="page"/>
      </w:r>
    </w:p>
    <w:p>
      <w:pPr>
        <w:pStyle w:val="2"/>
        <w:bidi w:val="0"/>
        <w:rPr>
          <w:rFonts w:hint="eastAsia"/>
        </w:rPr>
        <w:sectPr>
          <w:headerReference r:id="rId10" w:type="default"/>
          <w:footerReference r:id="rId11" w:type="default"/>
          <w:footnotePr>
            <w:numFmt w:val="decimalEnclosedCircleChinese"/>
            <w:numRestart w:val="eachPage"/>
          </w:footnotePr>
          <w:type w:val="continuous"/>
          <w:pgSz w:w="11906" w:h="16838"/>
          <w:pgMar w:top="1417" w:right="1134" w:bottom="1417" w:left="1134" w:header="851" w:footer="992" w:gutter="283"/>
          <w:pgBorders>
            <w:top w:val="none" w:sz="0" w:space="0"/>
            <w:left w:val="none" w:sz="0" w:space="0"/>
            <w:bottom w:val="none" w:sz="0" w:space="0"/>
            <w:right w:val="none" w:sz="0" w:space="0"/>
          </w:pgBorders>
          <w:pgNumType w:fmt="decimal" w:start="9"/>
          <w:cols w:space="425" w:num="1"/>
          <w:rtlGutter w:val="0"/>
          <w:docGrid w:type="lines" w:linePitch="312" w:charSpace="0"/>
        </w:sectPr>
      </w:pPr>
    </w:p>
    <w:p>
      <w:pPr>
        <w:pStyle w:val="2"/>
        <w:bidi w:val="0"/>
        <w:ind w:left="0" w:leftChars="0" w:firstLine="0" w:firstLineChars="0"/>
        <w:jc w:val="center"/>
      </w:pPr>
      <w:bookmarkStart w:id="38" w:name="_Toc23780"/>
      <w:r>
        <w:rPr>
          <w:rFonts w:hint="eastAsia"/>
        </w:rPr>
        <w:t>参考文献</w:t>
      </w:r>
      <w:bookmarkEnd w:id="36"/>
      <w:bookmarkEnd w:id="37"/>
      <w:bookmarkEnd w:id="38"/>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[1]黎宏.论防卫过当的罪过形式[J].法学,2019(02):26-41.</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[2]周光权.论持续侵害与正当防卫的关系[J].法学,2017(04):3-11.</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[3]张明楷.防卫过当:判断标准与过当类型[J].法学,2019(01):3-21.</w:t>
      </w:r>
      <w:bookmarkStart w:id="42" w:name="_GoBack"/>
      <w:bookmarkEnd w:id="42"/>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[4]汪雄.寻找失落的“精神”——从《刑法》第20条第3款的适用范围反思刑法的立法价值[J].学术月刊,2020,52(01):109-120.</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[5]陈兴良.正当防卫论[M].中国人大出版社:陈兴良刑法学,201710.393.</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[6]邹兵建.正当防卫中“明显超过必要限度”的法教义学研究[J].法学,2018(11):139-153.</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[7]赵秉志,王志祥.英美刑法学[M].科学出版社, 2010：1</w:t>
      </w:r>
      <w:r>
        <w:rPr>
          <w:rFonts w:ascii="宋体" w:hAnsi="宋体"/>
          <w:sz w:val="24"/>
          <w:szCs w:val="24"/>
        </w:rPr>
        <w:t>35</w:t>
      </w:r>
      <w:r>
        <w:rPr>
          <w:rFonts w:hint="eastAsia" w:ascii="宋体" w:hAnsi="宋体"/>
          <w:sz w:val="24"/>
          <w:szCs w:val="24"/>
        </w:rPr>
        <w:t>.</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[8]冈特.施特拉腾韦特洛塔尔.库伦.刑法总论.1,犯罪论[M].法律出版社, 2006.</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[9]张乃翼.刑法总论讲义[M].辽宁人民出版社,2006.</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[10]劳东燕.防卫过当的认定与结果无价值论的不足[J].中外法学，2</w:t>
      </w:r>
      <w:r>
        <w:rPr>
          <w:rFonts w:ascii="宋体" w:hAnsi="宋体"/>
          <w:sz w:val="24"/>
          <w:szCs w:val="24"/>
        </w:rPr>
        <w:t>015</w:t>
      </w:r>
      <w:r>
        <w:rPr>
          <w:rFonts w:hint="eastAsia" w:ascii="宋体" w:hAnsi="宋体"/>
          <w:sz w:val="24"/>
          <w:szCs w:val="24"/>
        </w:rPr>
        <w:t>学,2015,27(05):1324-1348.</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[11]马克昌.犯罪通论[M].武汉大学出版社,1999：3</w:t>
      </w:r>
      <w:r>
        <w:rPr>
          <w:rFonts w:ascii="宋体" w:hAnsi="宋体"/>
          <w:sz w:val="24"/>
          <w:szCs w:val="24"/>
        </w:rPr>
        <w:t>05</w:t>
      </w:r>
      <w:r>
        <w:rPr>
          <w:rFonts w:hint="eastAsia" w:ascii="宋体" w:hAnsi="宋体"/>
          <w:sz w:val="24"/>
          <w:szCs w:val="24"/>
        </w:rPr>
        <w:t>.</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[12]冯军.防卫过当:性质、成立要件与考察方法[J].法学,2019(01):22-36.</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[13]于海明正当防卫案(最高人民检察院指导案例第47号)[C]//.刑事法判解研究（第38辑）.,2018:251-254.</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[14]陶瑾.司法中否定正当防卫成立的事实因素实证研究——基于2017-2018年3238份判决书的分析[J].天津法学,2019,35(04):55-60.</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sz w:val="24"/>
          <w:szCs w:val="24"/>
        </w:rPr>
      </w:pPr>
      <w:r>
        <w:rPr>
          <w:rFonts w:hint="eastAsia" w:ascii="宋体" w:hAnsi="宋体"/>
          <w:sz w:val="24"/>
          <w:szCs w:val="24"/>
        </w:rPr>
        <w:t>[15]陈家林,汪雪城.特殊防卫的司法现状及其刑法学分析——以98份裁判文书为样本[J].刑法论丛,2017,49(01):150-192.</w:t>
      </w:r>
    </w:p>
    <w:p>
      <w:pPr>
        <w:keepNext w:val="0"/>
        <w:keepLines w:val="0"/>
        <w:pageBreakBefore w:val="0"/>
        <w:widowControl w:val="0"/>
        <w:tabs>
          <w:tab w:val="left" w:pos="312"/>
        </w:tabs>
        <w:kinsoku/>
        <w:wordWrap w:val="0"/>
        <w:overflowPunct/>
        <w:topLinePunct w:val="0"/>
        <w:autoSpaceDE/>
        <w:autoSpaceDN/>
        <w:bidi w:val="0"/>
        <w:adjustRightInd/>
        <w:snapToGrid/>
        <w:spacing w:line="300" w:lineRule="auto"/>
        <w:ind w:firstLine="480" w:firstLineChars="200"/>
        <w:jc w:val="left"/>
        <w:textAlignment w:val="auto"/>
        <w:rPr>
          <w:rFonts w:ascii="宋体" w:hAnsi="宋体"/>
          <w:color w:val="000000"/>
          <w:sz w:val="24"/>
          <w:szCs w:val="24"/>
        </w:rPr>
      </w:pPr>
      <w:r>
        <w:rPr>
          <w:rFonts w:hint="eastAsia" w:ascii="宋体" w:hAnsi="宋体"/>
          <w:sz w:val="24"/>
          <w:szCs w:val="24"/>
        </w:rPr>
        <w:t>[16]陈璇.侵害人视角下的正当防卫论[J].法学研究,2015,37(03):120-138.</w:t>
      </w:r>
    </w:p>
    <w:p>
      <w:pPr>
        <w:rPr>
          <w:rFonts w:eastAsia="黑体"/>
          <w:b w:val="0"/>
          <w:sz w:val="32"/>
        </w:rPr>
      </w:pPr>
      <w:r>
        <w:rPr>
          <w:rFonts w:eastAsia="黑体"/>
          <w:b w:val="0"/>
          <w:sz w:val="32"/>
        </w:rPr>
        <w:br w:type="page"/>
      </w:r>
      <w:bookmarkStart w:id="39" w:name="_Toc11577"/>
      <w:bookmarkStart w:id="40" w:name="_Toc4599"/>
    </w:p>
    <w:p>
      <w:pPr>
        <w:pStyle w:val="2"/>
        <w:bidi w:val="0"/>
        <w:ind w:left="0" w:leftChars="0" w:firstLine="0" w:firstLineChars="0"/>
        <w:jc w:val="center"/>
      </w:pPr>
      <w:bookmarkStart w:id="41" w:name="_Toc1257"/>
      <w:r>
        <w:rPr>
          <w:rFonts w:hint="eastAsia"/>
        </w:rPr>
        <w:t>致谢</w:t>
      </w:r>
      <w:bookmarkEnd w:id="39"/>
      <w:bookmarkEnd w:id="40"/>
      <w:bookmarkEnd w:id="41"/>
    </w:p>
    <w:p>
      <w:pPr>
        <w:spacing w:line="300" w:lineRule="auto"/>
        <w:ind w:firstLine="480" w:firstLineChars="200"/>
        <w:rPr>
          <w:rFonts w:ascii="Georgia" w:hAnsi="Georgia"/>
          <w:sz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ascii="Georgia" w:hAnsi="Georgia"/>
          <w:sz w:val="24"/>
        </w:rPr>
      </w:pPr>
      <w:r>
        <w:rPr>
          <w:rFonts w:hint="eastAsia" w:ascii="Georgia" w:hAnsi="Georgia"/>
          <w:sz w:val="24"/>
        </w:rPr>
        <w:t>在论文完成期间，特别感谢我的导师，在这么复杂的文字论述中给予我精确指导，我也是从老师的指导下一步一步完成了我的论文课目，从选题、开题报告、文案设计、撰写规范等方面给了我很大的帮助，在学习期间，他的言传身教将使我终生受益，他认真严谨的治学态度、豁达宽广的胸怀、平易近人的处事风格是我一生的楷模，值此提交论文之时，在此向导师表达衷心的感谢！</w:t>
      </w:r>
    </w:p>
    <w:p>
      <w:pPr>
        <w:keepNext w:val="0"/>
        <w:keepLines w:val="0"/>
        <w:pageBreakBefore w:val="0"/>
        <w:widowControl w:val="0"/>
        <w:kinsoku/>
        <w:overflowPunct/>
        <w:topLinePunct w:val="0"/>
        <w:autoSpaceDE/>
        <w:autoSpaceDN/>
        <w:bidi w:val="0"/>
        <w:adjustRightInd/>
        <w:snapToGrid/>
        <w:spacing w:line="300" w:lineRule="auto"/>
        <w:ind w:firstLine="480" w:firstLineChars="200"/>
        <w:textAlignment w:val="auto"/>
        <w:rPr>
          <w:rFonts w:ascii="Georgia" w:hAnsi="Georgia"/>
          <w:sz w:val="24"/>
        </w:rPr>
      </w:pPr>
    </w:p>
    <w:p>
      <w:pPr>
        <w:spacing w:line="300" w:lineRule="auto"/>
        <w:ind w:firstLine="480" w:firstLineChars="200"/>
        <w:rPr>
          <w:rFonts w:ascii="Georgia" w:hAnsi="Georgia"/>
          <w:sz w:val="24"/>
        </w:rPr>
      </w:pPr>
    </w:p>
    <w:p>
      <w:pPr>
        <w:spacing w:line="300" w:lineRule="auto"/>
        <w:ind w:firstLine="480" w:firstLineChars="200"/>
        <w:rPr>
          <w:rFonts w:ascii="Georgia" w:hAnsi="Georgia"/>
          <w:sz w:val="24"/>
        </w:rPr>
      </w:pPr>
    </w:p>
    <w:p>
      <w:pPr>
        <w:pStyle w:val="9"/>
        <w:ind w:left="5250" w:firstLine="1440" w:firstLineChars="600"/>
        <w:rPr>
          <w:rFonts w:hint="eastAsia" w:ascii="宋体" w:hAnsi="宋体" w:eastAsia="宋体"/>
          <w:lang w:eastAsia="zh-CN"/>
        </w:rPr>
      </w:pPr>
      <w:r>
        <w:rPr>
          <w:rFonts w:hint="eastAsia" w:ascii="宋体" w:hAnsi="宋体"/>
        </w:rPr>
        <w:t>钟</w:t>
      </w:r>
      <w:r>
        <w:rPr>
          <w:rFonts w:hint="eastAsia" w:ascii="宋体" w:hAnsi="宋体"/>
          <w:lang w:val="en-US" w:eastAsia="zh-CN"/>
        </w:rPr>
        <w:t>小美</w:t>
      </w:r>
    </w:p>
    <w:p/>
    <w:p>
      <w:pPr>
        <w:pStyle w:val="9"/>
        <w:ind w:left="5250" w:firstLine="840" w:firstLineChars="350"/>
        <w:rPr>
          <w:rFonts w:ascii="宋体" w:hAnsi="宋体"/>
        </w:rPr>
      </w:pPr>
      <w:r>
        <w:rPr>
          <w:rFonts w:hint="eastAsia" w:ascii="宋体" w:hAnsi="宋体"/>
        </w:rPr>
        <w:t xml:space="preserve"> 202</w:t>
      </w:r>
      <w:r>
        <w:rPr>
          <w:rFonts w:hint="eastAsia" w:ascii="宋体" w:hAnsi="宋体"/>
          <w:lang w:val="en-US" w:eastAsia="zh-CN"/>
        </w:rPr>
        <w:t>4</w:t>
      </w:r>
      <w:r>
        <w:rPr>
          <w:rFonts w:hint="eastAsia" w:ascii="宋体" w:hAnsi="宋体"/>
        </w:rPr>
        <w:t xml:space="preserve"> 年4月25日</w:t>
      </w:r>
    </w:p>
    <w:p>
      <w:pPr>
        <w:tabs>
          <w:tab w:val="left" w:pos="6585"/>
        </w:tabs>
        <w:spacing w:line="300" w:lineRule="auto"/>
        <w:ind w:firstLine="480" w:firstLineChars="200"/>
        <w:rPr>
          <w:rFonts w:ascii="Batang" w:hAnsi="Batang" w:eastAsia="Batang"/>
          <w:sz w:val="24"/>
        </w:rPr>
      </w:pPr>
      <w:r>
        <w:rPr>
          <w:rFonts w:ascii="Batang" w:hAnsi="Batang" w:eastAsia="Batang"/>
          <w:sz w:val="24"/>
        </w:rPr>
        <w:tab/>
      </w:r>
    </w:p>
    <w:p>
      <w:pPr>
        <w:spacing w:line="300" w:lineRule="auto"/>
        <w:ind w:firstLine="480" w:firstLineChars="200"/>
        <w:rPr>
          <w:rFonts w:ascii="Batang" w:hAnsi="Batang" w:eastAsia="Batang"/>
          <w:sz w:val="24"/>
        </w:rPr>
      </w:pPr>
    </w:p>
    <w:p>
      <w:pPr>
        <w:spacing w:line="300" w:lineRule="auto"/>
        <w:ind w:firstLine="480" w:firstLineChars="200"/>
        <w:rPr>
          <w:rFonts w:ascii="Batang" w:hAnsi="Batang" w:eastAsia="Batang"/>
          <w:sz w:val="24"/>
        </w:rPr>
      </w:pPr>
    </w:p>
    <w:p>
      <w:pPr>
        <w:spacing w:line="300" w:lineRule="auto"/>
        <w:ind w:firstLine="480" w:firstLineChars="200"/>
        <w:rPr>
          <w:rFonts w:ascii="Georgia" w:hAnsi="Georgia"/>
          <w:sz w:val="24"/>
        </w:rPr>
      </w:pPr>
    </w:p>
    <w:p>
      <w:pPr>
        <w:spacing w:line="360" w:lineRule="auto"/>
        <w:ind w:firstLine="520" w:firstLineChars="200"/>
        <w:rPr>
          <w:spacing w:val="10"/>
          <w:kern w:val="0"/>
          <w:sz w:val="24"/>
        </w:rPr>
      </w:pPr>
    </w:p>
    <w:p>
      <w:pPr>
        <w:spacing w:line="360" w:lineRule="auto"/>
        <w:ind w:firstLine="520" w:firstLineChars="200"/>
        <w:rPr>
          <w:spacing w:val="10"/>
          <w:kern w:val="0"/>
          <w:sz w:val="24"/>
        </w:rPr>
      </w:pPr>
    </w:p>
    <w:p>
      <w:pPr>
        <w:spacing w:line="360" w:lineRule="auto"/>
        <w:ind w:firstLine="520" w:firstLineChars="200"/>
        <w:rPr>
          <w:spacing w:val="10"/>
          <w:kern w:val="0"/>
          <w:sz w:val="24"/>
        </w:rPr>
      </w:pPr>
    </w:p>
    <w:p>
      <w:pPr>
        <w:spacing w:line="360" w:lineRule="auto"/>
        <w:ind w:firstLine="520" w:firstLineChars="200"/>
        <w:rPr>
          <w:spacing w:val="10"/>
          <w:kern w:val="0"/>
          <w:sz w:val="24"/>
        </w:rPr>
      </w:pPr>
    </w:p>
    <w:p>
      <w:pPr>
        <w:spacing w:line="360" w:lineRule="auto"/>
        <w:ind w:firstLine="520" w:firstLineChars="200"/>
        <w:rPr>
          <w:spacing w:val="10"/>
          <w:kern w:val="0"/>
          <w:sz w:val="24"/>
        </w:rPr>
      </w:pPr>
    </w:p>
    <w:p>
      <w:pPr>
        <w:spacing w:line="360" w:lineRule="auto"/>
        <w:ind w:firstLine="520" w:firstLineChars="200"/>
        <w:rPr>
          <w:spacing w:val="10"/>
          <w:kern w:val="0"/>
          <w:sz w:val="24"/>
        </w:rPr>
      </w:pPr>
    </w:p>
    <w:p>
      <w:pPr>
        <w:spacing w:line="360" w:lineRule="auto"/>
        <w:ind w:firstLine="520" w:firstLineChars="200"/>
        <w:rPr>
          <w:spacing w:val="10"/>
          <w:kern w:val="0"/>
          <w:sz w:val="24"/>
        </w:rPr>
      </w:pPr>
    </w:p>
    <w:p>
      <w:pPr>
        <w:snapToGrid w:val="0"/>
        <w:spacing w:line="360" w:lineRule="auto"/>
        <w:rPr>
          <w:b/>
          <w:spacing w:val="10"/>
          <w:sz w:val="24"/>
        </w:rPr>
      </w:pPr>
    </w:p>
    <w:sectPr>
      <w:headerReference r:id="rId12" w:type="default"/>
      <w:footnotePr>
        <w:numFmt w:val="decimalEnclosedCircleChinese"/>
        <w:numRestart w:val="eachPage"/>
      </w:footnotePr>
      <w:pgSz w:w="11906" w:h="16838"/>
      <w:pgMar w:top="1417" w:right="1134" w:bottom="1417" w:left="1134" w:header="851" w:footer="992" w:gutter="283"/>
      <w:pgBorders>
        <w:top w:val="none" w:sz="0" w:space="0"/>
        <w:left w:val="none" w:sz="0" w:space="0"/>
        <w:bottom w:val="none" w:sz="0" w:space="0"/>
        <w:right w:val="none" w:sz="0" w:space="0"/>
      </w:pgBorders>
      <w:pgNumType w:fmt="decimal"/>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HY08gBAACZ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th2NPIAQAAmQ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300" w:lineRule="auto"/>
        <w:ind w:firstLine="480"/>
      </w:pPr>
    </w:p>
  </w:footnote>
  <w:footnote w:type="continuationSeparator" w:id="11">
    <w:p>
      <w:pPr>
        <w:spacing w:line="300" w:lineRule="auto"/>
        <w:ind w:firstLine="480"/>
      </w:pPr>
    </w:p>
  </w:footnote>
  <w:footnote w:id="0">
    <w:p>
      <w:pPr>
        <w:pStyle w:val="15"/>
      </w:pPr>
      <w:r>
        <w:rPr>
          <w:rStyle w:val="24"/>
        </w:rPr>
        <w:footnoteRef/>
      </w:r>
      <w:r>
        <w:t xml:space="preserve"> </w:t>
      </w:r>
      <w:r>
        <w:rPr>
          <w:rFonts w:hint="eastAsia" w:ascii="宋体" w:hAnsi="宋体"/>
        </w:rPr>
        <w:t>黎宏.论防卫过当的罪过形式[J].法学,2019(02):41.</w:t>
      </w:r>
      <w:r>
        <w:rPr>
          <w:rFonts w:ascii="宋体" w:hAnsi="宋体"/>
        </w:rPr>
        <w:t>；</w:t>
      </w:r>
      <w:r>
        <w:rPr>
          <w:rFonts w:hint="eastAsia" w:ascii="宋体" w:hAnsi="宋体"/>
        </w:rPr>
        <w:t>周光权.论持续侵害与正当防卫的关系[J].法学,2017(04):</w:t>
      </w:r>
      <w:r>
        <w:rPr>
          <w:rFonts w:ascii="宋体" w:hAnsi="宋体"/>
        </w:rPr>
        <w:t>4</w:t>
      </w:r>
      <w:r>
        <w:rPr>
          <w:rFonts w:hint="eastAsia" w:ascii="宋体" w:hAnsi="宋体"/>
        </w:rPr>
        <w:t>.</w:t>
      </w:r>
    </w:p>
  </w:footnote>
  <w:footnote w:id="1">
    <w:p>
      <w:pPr>
        <w:pStyle w:val="15"/>
      </w:pPr>
      <w:r>
        <w:rPr>
          <w:rStyle w:val="24"/>
        </w:rPr>
        <w:footnoteRef/>
      </w:r>
      <w:r>
        <w:t xml:space="preserve"> </w:t>
      </w:r>
      <w:r>
        <w:rPr>
          <w:rFonts w:hint="eastAsia" w:ascii="宋体" w:hAnsi="宋体"/>
        </w:rPr>
        <w:t>张明楷.防卫过当:判断标准与过当类型[J].法学,2019(01):</w:t>
      </w:r>
      <w:r>
        <w:rPr>
          <w:rFonts w:ascii="宋体" w:hAnsi="宋体"/>
        </w:rPr>
        <w:t>4</w:t>
      </w:r>
      <w:r>
        <w:rPr>
          <w:rFonts w:hint="eastAsia" w:ascii="宋体" w:hAnsi="宋体"/>
        </w:rPr>
        <w:t>.</w:t>
      </w:r>
      <w:r>
        <w:rPr>
          <w:rFonts w:ascii="宋体" w:hAnsi="宋体"/>
        </w:rPr>
        <w:t>；</w:t>
      </w:r>
      <w:r>
        <w:rPr>
          <w:rFonts w:hint="eastAsia" w:ascii="宋体" w:hAnsi="宋体"/>
        </w:rPr>
        <w:t>汪雄.寻找失落的“精神”——从《刑法》第20条第3款的适用范围反思刑法的立法价值[J].学术月刊,2020,52(01):</w:t>
      </w:r>
      <w:r>
        <w:rPr>
          <w:rFonts w:ascii="宋体" w:hAnsi="宋体"/>
        </w:rPr>
        <w:t>115</w:t>
      </w:r>
      <w:r>
        <w:rPr>
          <w:rFonts w:hint="eastAsia" w:ascii="宋体" w:hAnsi="宋体"/>
        </w:rPr>
        <w:t>.</w:t>
      </w:r>
    </w:p>
  </w:footnote>
  <w:footnote w:id="2">
    <w:p>
      <w:pPr>
        <w:pStyle w:val="15"/>
      </w:pPr>
      <w:r>
        <w:rPr>
          <w:rStyle w:val="24"/>
        </w:rPr>
        <w:footnoteRef/>
      </w:r>
      <w:r>
        <w:t xml:space="preserve"> </w:t>
      </w:r>
      <w:r>
        <w:rPr>
          <w:rFonts w:hint="eastAsia" w:ascii="宋体" w:hAnsi="宋体"/>
        </w:rPr>
        <w:t>邹兵建.正当防卫中“明显超过必要限度”的法教义学研究[J].法学,2018(11):153.</w:t>
      </w:r>
    </w:p>
  </w:footnote>
  <w:footnote w:id="3">
    <w:p>
      <w:pPr>
        <w:pStyle w:val="15"/>
      </w:pPr>
      <w:r>
        <w:rPr>
          <w:rStyle w:val="24"/>
        </w:rPr>
        <w:footnoteRef/>
      </w:r>
      <w:r>
        <w:t xml:space="preserve"> 第</w:t>
      </w:r>
      <w:r>
        <w:rPr>
          <w:rFonts w:hint="eastAsia"/>
        </w:rPr>
        <w:t>3</w:t>
      </w:r>
      <w:r>
        <w:t>款所列明的暴力犯罪为正在进行的行凶、杀人、抢劫、强奸、绑架</w:t>
      </w:r>
      <w:r>
        <w:rPr>
          <w:rFonts w:hint="eastAsia"/>
        </w:rPr>
        <w:t>。</w:t>
      </w:r>
    </w:p>
  </w:footnote>
  <w:footnote w:id="4">
    <w:p>
      <w:pPr>
        <w:pStyle w:val="15"/>
      </w:pPr>
      <w:r>
        <w:rPr>
          <w:rStyle w:val="24"/>
        </w:rPr>
        <w:footnoteRef/>
      </w:r>
      <w:r>
        <w:t xml:space="preserve"> </w:t>
      </w:r>
      <w:r>
        <w:rPr>
          <w:rFonts w:hint="eastAsia" w:ascii="宋体" w:hAnsi="宋体"/>
        </w:rPr>
        <w:t>劳东燕.防卫过当的认定与结果无价值论的不足[J].中外法学,2015,27(05):</w:t>
      </w:r>
      <w:r>
        <w:rPr>
          <w:rFonts w:ascii="宋体" w:hAnsi="宋体"/>
        </w:rPr>
        <w:t>1342</w:t>
      </w:r>
      <w:r>
        <w:rPr>
          <w:rFonts w:hint="eastAsia" w:ascii="宋体" w:hAnsi="宋体"/>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4" w:space="1"/>
      </w:pBdr>
      <w:tabs>
        <w:tab w:val="center" w:pos="4153"/>
        <w:tab w:val="right" w:pos="8306"/>
      </w:tabs>
      <w:snapToGrid w:val="0"/>
      <w:spacing w:line="300" w:lineRule="auto"/>
      <w:ind w:firstLine="4500" w:firstLineChars="2500"/>
      <w:jc w:val="both"/>
      <w:rPr>
        <w:rFonts w:hint="default"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XXXXXXX</w:t>
    </w:r>
    <w:r>
      <w:rPr>
        <w:rFonts w:hint="eastAsia" w:ascii="宋体" w:hAnsi="宋体" w:eastAsia="宋体"/>
        <w:b/>
        <w:color w:val="000000"/>
        <w:szCs w:val="21"/>
        <w:lang w:eastAsia="zh-CN"/>
      </w:rPr>
      <w:drawing>
        <wp:anchor distT="0" distB="0" distL="114300" distR="114300" simplePos="0" relativeHeight="251665408" behindDoc="0" locked="0" layoutInCell="1" allowOverlap="1">
          <wp:simplePos x="0" y="0"/>
          <wp:positionH relativeFrom="column">
            <wp:posOffset>4653280</wp:posOffset>
          </wp:positionH>
          <wp:positionV relativeFrom="paragraph">
            <wp:posOffset>-730885</wp:posOffset>
          </wp:positionV>
          <wp:extent cx="1981835" cy="1116330"/>
          <wp:effectExtent l="0" t="0" r="0" b="0"/>
          <wp:wrapNone/>
          <wp:docPr id="3" name="图片 4" descr="2.11广州商学院标识RG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2.11广州商学院标识RGB-03"/>
                  <pic:cNvPicPr>
                    <a:picLocks noChangeAspect="1"/>
                  </pic:cNvPicPr>
                </pic:nvPicPr>
                <pic:blipFill>
                  <a:blip r:embed="rId1"/>
                  <a:stretch>
                    <a:fillRect/>
                  </a:stretch>
                </pic:blipFill>
                <pic:spPr>
                  <a:xfrm>
                    <a:off x="0" y="0"/>
                    <a:ext cx="1981835" cy="1116330"/>
                  </a:xfrm>
                  <a:prstGeom prst="rect">
                    <a:avLst/>
                  </a:prstGeom>
                  <a:noFill/>
                  <a:ln>
                    <a:noFill/>
                  </a:ln>
                </pic:spPr>
              </pic:pic>
            </a:graphicData>
          </a:graphic>
        </wp:anchor>
      </w:drawing>
    </w:r>
  </w:p>
  <w:p>
    <w:pPr>
      <w:pStyle w:val="13"/>
      <w:pBdr>
        <w:bottom w:val="none" w:color="auto" w:sz="0" w:space="1"/>
      </w:pBdr>
      <w:tabs>
        <w:tab w:val="left" w:pos="6440"/>
      </w:tabs>
      <w:jc w:val="left"/>
      <w:rPr>
        <w:rFonts w:hint="default" w:eastAsiaTheme="minorEastAsia"/>
        <w:lang w:val="en-US" w:eastAsia="zh-CN"/>
      </w:rPr>
    </w:pPr>
    <w:r>
      <w:rPr>
        <w:rFonts w:hint="eastAsia"/>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1FB4B"/>
    <w:multiLevelType w:val="singleLevel"/>
    <w:tmpl w:val="0A61FB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hdrShapeDefaults>
    <o:shapelayout v:ext="edit">
      <o:idmap v:ext="edit" data="3"/>
    </o:shapelayout>
  </w:hdrShapeDefaults>
  <w:footnotePr>
    <w:numFmt w:val="decimalEnclosedCircleChinese"/>
    <w:numRestart w:val="eachPage"/>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ZjQ4MzJkMjNkNjcyM2FkZWJjNTk3NzQxZDdlOWUifQ=="/>
  </w:docVars>
  <w:rsids>
    <w:rsidRoot w:val="00CF6115"/>
    <w:rsid w:val="0000214E"/>
    <w:rsid w:val="0000353B"/>
    <w:rsid w:val="00004DA3"/>
    <w:rsid w:val="00023FE6"/>
    <w:rsid w:val="0002780F"/>
    <w:rsid w:val="00033F7F"/>
    <w:rsid w:val="00046879"/>
    <w:rsid w:val="00066E6F"/>
    <w:rsid w:val="0006728C"/>
    <w:rsid w:val="0007302C"/>
    <w:rsid w:val="00074FFB"/>
    <w:rsid w:val="00083C1C"/>
    <w:rsid w:val="00083E71"/>
    <w:rsid w:val="00092572"/>
    <w:rsid w:val="000977E1"/>
    <w:rsid w:val="000A3F06"/>
    <w:rsid w:val="000A71EA"/>
    <w:rsid w:val="000B62EB"/>
    <w:rsid w:val="000B78FE"/>
    <w:rsid w:val="000E3A06"/>
    <w:rsid w:val="001006F1"/>
    <w:rsid w:val="0011177A"/>
    <w:rsid w:val="00112BD1"/>
    <w:rsid w:val="00121942"/>
    <w:rsid w:val="00121CC5"/>
    <w:rsid w:val="001262AB"/>
    <w:rsid w:val="00126855"/>
    <w:rsid w:val="00133FD0"/>
    <w:rsid w:val="00137860"/>
    <w:rsid w:val="001648F8"/>
    <w:rsid w:val="0016682B"/>
    <w:rsid w:val="00167D27"/>
    <w:rsid w:val="00174C67"/>
    <w:rsid w:val="00186872"/>
    <w:rsid w:val="00190FA0"/>
    <w:rsid w:val="00191B42"/>
    <w:rsid w:val="001A593C"/>
    <w:rsid w:val="001B2706"/>
    <w:rsid w:val="001E67F1"/>
    <w:rsid w:val="001E770A"/>
    <w:rsid w:val="001F1C5E"/>
    <w:rsid w:val="001F56D1"/>
    <w:rsid w:val="001F777E"/>
    <w:rsid w:val="002000A9"/>
    <w:rsid w:val="002012EA"/>
    <w:rsid w:val="00206CE3"/>
    <w:rsid w:val="002143E7"/>
    <w:rsid w:val="00241028"/>
    <w:rsid w:val="00241A86"/>
    <w:rsid w:val="00246D48"/>
    <w:rsid w:val="00254423"/>
    <w:rsid w:val="00260881"/>
    <w:rsid w:val="00274E0B"/>
    <w:rsid w:val="002767A3"/>
    <w:rsid w:val="00280F6F"/>
    <w:rsid w:val="00295611"/>
    <w:rsid w:val="002A0C72"/>
    <w:rsid w:val="002B01E7"/>
    <w:rsid w:val="002D5347"/>
    <w:rsid w:val="002F73E6"/>
    <w:rsid w:val="00306247"/>
    <w:rsid w:val="003133F2"/>
    <w:rsid w:val="0031396A"/>
    <w:rsid w:val="00314AB4"/>
    <w:rsid w:val="003264F0"/>
    <w:rsid w:val="00342085"/>
    <w:rsid w:val="00342A1F"/>
    <w:rsid w:val="00347A00"/>
    <w:rsid w:val="003603F1"/>
    <w:rsid w:val="0036692D"/>
    <w:rsid w:val="00376388"/>
    <w:rsid w:val="003769F7"/>
    <w:rsid w:val="00380DAC"/>
    <w:rsid w:val="003859F0"/>
    <w:rsid w:val="003908FE"/>
    <w:rsid w:val="00393074"/>
    <w:rsid w:val="00397DE4"/>
    <w:rsid w:val="003A142F"/>
    <w:rsid w:val="003B279B"/>
    <w:rsid w:val="003B4B5C"/>
    <w:rsid w:val="003B7D34"/>
    <w:rsid w:val="00401305"/>
    <w:rsid w:val="00405C22"/>
    <w:rsid w:val="004120A3"/>
    <w:rsid w:val="004124E3"/>
    <w:rsid w:val="00412CB3"/>
    <w:rsid w:val="00416781"/>
    <w:rsid w:val="00432A05"/>
    <w:rsid w:val="00447D56"/>
    <w:rsid w:val="004579E5"/>
    <w:rsid w:val="004647AA"/>
    <w:rsid w:val="004728E2"/>
    <w:rsid w:val="00480DE0"/>
    <w:rsid w:val="00490202"/>
    <w:rsid w:val="004962C2"/>
    <w:rsid w:val="004A29E4"/>
    <w:rsid w:val="004B3A98"/>
    <w:rsid w:val="004C060D"/>
    <w:rsid w:val="004C1904"/>
    <w:rsid w:val="004C4C55"/>
    <w:rsid w:val="004F177C"/>
    <w:rsid w:val="005001EE"/>
    <w:rsid w:val="00506742"/>
    <w:rsid w:val="00506C5B"/>
    <w:rsid w:val="00512077"/>
    <w:rsid w:val="005147C7"/>
    <w:rsid w:val="00517EDF"/>
    <w:rsid w:val="00523B01"/>
    <w:rsid w:val="00525341"/>
    <w:rsid w:val="00527B7A"/>
    <w:rsid w:val="00527BEE"/>
    <w:rsid w:val="0053087A"/>
    <w:rsid w:val="00533EAF"/>
    <w:rsid w:val="00542EFD"/>
    <w:rsid w:val="00560F20"/>
    <w:rsid w:val="00575B0C"/>
    <w:rsid w:val="00577115"/>
    <w:rsid w:val="0057788B"/>
    <w:rsid w:val="00593EAF"/>
    <w:rsid w:val="00595F79"/>
    <w:rsid w:val="005B3947"/>
    <w:rsid w:val="005B54A7"/>
    <w:rsid w:val="005C3448"/>
    <w:rsid w:val="005C6F09"/>
    <w:rsid w:val="005E3C5E"/>
    <w:rsid w:val="005F79F6"/>
    <w:rsid w:val="0060007E"/>
    <w:rsid w:val="0060126C"/>
    <w:rsid w:val="00603FC9"/>
    <w:rsid w:val="00604EAD"/>
    <w:rsid w:val="00644C89"/>
    <w:rsid w:val="0066097C"/>
    <w:rsid w:val="00673EF5"/>
    <w:rsid w:val="006767C4"/>
    <w:rsid w:val="00691584"/>
    <w:rsid w:val="006950BA"/>
    <w:rsid w:val="00697E88"/>
    <w:rsid w:val="006A4512"/>
    <w:rsid w:val="006A7A1B"/>
    <w:rsid w:val="006B164E"/>
    <w:rsid w:val="006C1C53"/>
    <w:rsid w:val="006C1CF0"/>
    <w:rsid w:val="006D1013"/>
    <w:rsid w:val="006D10D2"/>
    <w:rsid w:val="006E2D9E"/>
    <w:rsid w:val="006E31C9"/>
    <w:rsid w:val="006F5579"/>
    <w:rsid w:val="006F7B93"/>
    <w:rsid w:val="006F7D1A"/>
    <w:rsid w:val="00703564"/>
    <w:rsid w:val="00705CA9"/>
    <w:rsid w:val="0072468F"/>
    <w:rsid w:val="007249A8"/>
    <w:rsid w:val="00730B9B"/>
    <w:rsid w:val="00735BA2"/>
    <w:rsid w:val="007374F0"/>
    <w:rsid w:val="007426C3"/>
    <w:rsid w:val="00746768"/>
    <w:rsid w:val="00757E7A"/>
    <w:rsid w:val="007673C1"/>
    <w:rsid w:val="00774B43"/>
    <w:rsid w:val="0077656A"/>
    <w:rsid w:val="00782ABE"/>
    <w:rsid w:val="00784B31"/>
    <w:rsid w:val="00791DCF"/>
    <w:rsid w:val="00794818"/>
    <w:rsid w:val="0079757B"/>
    <w:rsid w:val="007B2343"/>
    <w:rsid w:val="007B3D15"/>
    <w:rsid w:val="007C0523"/>
    <w:rsid w:val="007C19B6"/>
    <w:rsid w:val="007D038E"/>
    <w:rsid w:val="007E267B"/>
    <w:rsid w:val="007F317E"/>
    <w:rsid w:val="007F4767"/>
    <w:rsid w:val="007F5ED8"/>
    <w:rsid w:val="00810F6B"/>
    <w:rsid w:val="008136B9"/>
    <w:rsid w:val="008152BF"/>
    <w:rsid w:val="0081756C"/>
    <w:rsid w:val="00843B00"/>
    <w:rsid w:val="008501E6"/>
    <w:rsid w:val="00855195"/>
    <w:rsid w:val="00856B84"/>
    <w:rsid w:val="00875C7D"/>
    <w:rsid w:val="008800DD"/>
    <w:rsid w:val="00886F35"/>
    <w:rsid w:val="00893ADB"/>
    <w:rsid w:val="00895F4C"/>
    <w:rsid w:val="008A4285"/>
    <w:rsid w:val="008B0CB2"/>
    <w:rsid w:val="008B0FB7"/>
    <w:rsid w:val="008E25FD"/>
    <w:rsid w:val="008F2A6C"/>
    <w:rsid w:val="0090621B"/>
    <w:rsid w:val="0092129C"/>
    <w:rsid w:val="00925147"/>
    <w:rsid w:val="00925CF6"/>
    <w:rsid w:val="009333A4"/>
    <w:rsid w:val="009461B8"/>
    <w:rsid w:val="00950265"/>
    <w:rsid w:val="0095694E"/>
    <w:rsid w:val="00957F2A"/>
    <w:rsid w:val="00964E17"/>
    <w:rsid w:val="00991D7F"/>
    <w:rsid w:val="00992E45"/>
    <w:rsid w:val="00992F76"/>
    <w:rsid w:val="00995D1F"/>
    <w:rsid w:val="009967D7"/>
    <w:rsid w:val="00996D66"/>
    <w:rsid w:val="00997310"/>
    <w:rsid w:val="009A3378"/>
    <w:rsid w:val="009B0A53"/>
    <w:rsid w:val="009B1C0D"/>
    <w:rsid w:val="009C2DFA"/>
    <w:rsid w:val="009C42E1"/>
    <w:rsid w:val="009C7CE8"/>
    <w:rsid w:val="009E04A8"/>
    <w:rsid w:val="009E485D"/>
    <w:rsid w:val="009E6F87"/>
    <w:rsid w:val="009F57A7"/>
    <w:rsid w:val="009F60EA"/>
    <w:rsid w:val="00A04B77"/>
    <w:rsid w:val="00A05D28"/>
    <w:rsid w:val="00A05DFC"/>
    <w:rsid w:val="00A0618F"/>
    <w:rsid w:val="00A10EE2"/>
    <w:rsid w:val="00A159DD"/>
    <w:rsid w:val="00A420FE"/>
    <w:rsid w:val="00A537E2"/>
    <w:rsid w:val="00A57B1A"/>
    <w:rsid w:val="00A70996"/>
    <w:rsid w:val="00A80DF0"/>
    <w:rsid w:val="00A81CF9"/>
    <w:rsid w:val="00A871EB"/>
    <w:rsid w:val="00AB7DCD"/>
    <w:rsid w:val="00AC57C0"/>
    <w:rsid w:val="00AC57EB"/>
    <w:rsid w:val="00AD4ECE"/>
    <w:rsid w:val="00B028E4"/>
    <w:rsid w:val="00B0459C"/>
    <w:rsid w:val="00B106E7"/>
    <w:rsid w:val="00B15A13"/>
    <w:rsid w:val="00B15BFB"/>
    <w:rsid w:val="00B26FD1"/>
    <w:rsid w:val="00B32209"/>
    <w:rsid w:val="00B34DBB"/>
    <w:rsid w:val="00B3537B"/>
    <w:rsid w:val="00B41957"/>
    <w:rsid w:val="00B42EC3"/>
    <w:rsid w:val="00B54B27"/>
    <w:rsid w:val="00B6192E"/>
    <w:rsid w:val="00B67E8C"/>
    <w:rsid w:val="00B738BA"/>
    <w:rsid w:val="00B81431"/>
    <w:rsid w:val="00B822C9"/>
    <w:rsid w:val="00B86D47"/>
    <w:rsid w:val="00B915B0"/>
    <w:rsid w:val="00B975A1"/>
    <w:rsid w:val="00BA4988"/>
    <w:rsid w:val="00BA67DF"/>
    <w:rsid w:val="00BC0AE2"/>
    <w:rsid w:val="00BC3BC1"/>
    <w:rsid w:val="00BC4228"/>
    <w:rsid w:val="00BD2DBD"/>
    <w:rsid w:val="00BE45E4"/>
    <w:rsid w:val="00C06601"/>
    <w:rsid w:val="00C30CD9"/>
    <w:rsid w:val="00C3336B"/>
    <w:rsid w:val="00C472A0"/>
    <w:rsid w:val="00C657D5"/>
    <w:rsid w:val="00C734DD"/>
    <w:rsid w:val="00C75BA2"/>
    <w:rsid w:val="00C84201"/>
    <w:rsid w:val="00C85AD9"/>
    <w:rsid w:val="00C86724"/>
    <w:rsid w:val="00C92AFE"/>
    <w:rsid w:val="00C940D2"/>
    <w:rsid w:val="00C96CD4"/>
    <w:rsid w:val="00CA4359"/>
    <w:rsid w:val="00CB3C36"/>
    <w:rsid w:val="00CB6D76"/>
    <w:rsid w:val="00CC4141"/>
    <w:rsid w:val="00CC7C18"/>
    <w:rsid w:val="00CD569C"/>
    <w:rsid w:val="00CF6115"/>
    <w:rsid w:val="00D0587C"/>
    <w:rsid w:val="00D10BFF"/>
    <w:rsid w:val="00D17AC6"/>
    <w:rsid w:val="00D272C2"/>
    <w:rsid w:val="00D303BC"/>
    <w:rsid w:val="00D313DD"/>
    <w:rsid w:val="00D34D3D"/>
    <w:rsid w:val="00D5249B"/>
    <w:rsid w:val="00D63104"/>
    <w:rsid w:val="00D6360E"/>
    <w:rsid w:val="00D655C3"/>
    <w:rsid w:val="00D75B4C"/>
    <w:rsid w:val="00D771A9"/>
    <w:rsid w:val="00D9112E"/>
    <w:rsid w:val="00D92E64"/>
    <w:rsid w:val="00D93148"/>
    <w:rsid w:val="00D95699"/>
    <w:rsid w:val="00DA2C90"/>
    <w:rsid w:val="00DA5E45"/>
    <w:rsid w:val="00DB3A10"/>
    <w:rsid w:val="00DC15B7"/>
    <w:rsid w:val="00DC4550"/>
    <w:rsid w:val="00DD1DD2"/>
    <w:rsid w:val="00DD3617"/>
    <w:rsid w:val="00DD3820"/>
    <w:rsid w:val="00DE7005"/>
    <w:rsid w:val="00DF27F4"/>
    <w:rsid w:val="00DF6EEE"/>
    <w:rsid w:val="00E118E3"/>
    <w:rsid w:val="00E168A3"/>
    <w:rsid w:val="00E2382F"/>
    <w:rsid w:val="00E32FC5"/>
    <w:rsid w:val="00E5289B"/>
    <w:rsid w:val="00E53E7F"/>
    <w:rsid w:val="00E733F1"/>
    <w:rsid w:val="00E75728"/>
    <w:rsid w:val="00E769B0"/>
    <w:rsid w:val="00E80C5D"/>
    <w:rsid w:val="00E84D45"/>
    <w:rsid w:val="00E8656C"/>
    <w:rsid w:val="00E87FD0"/>
    <w:rsid w:val="00EA2326"/>
    <w:rsid w:val="00EB1EF2"/>
    <w:rsid w:val="00EC7B8F"/>
    <w:rsid w:val="00EE2D79"/>
    <w:rsid w:val="00F01F25"/>
    <w:rsid w:val="00F10B66"/>
    <w:rsid w:val="00F12DBE"/>
    <w:rsid w:val="00F14E01"/>
    <w:rsid w:val="00F1607C"/>
    <w:rsid w:val="00F165C7"/>
    <w:rsid w:val="00F202FB"/>
    <w:rsid w:val="00F2053F"/>
    <w:rsid w:val="00F304F0"/>
    <w:rsid w:val="00F35AD7"/>
    <w:rsid w:val="00F47497"/>
    <w:rsid w:val="00F74B98"/>
    <w:rsid w:val="00F758C0"/>
    <w:rsid w:val="00F85818"/>
    <w:rsid w:val="00F8655F"/>
    <w:rsid w:val="00F96104"/>
    <w:rsid w:val="00FA1DE1"/>
    <w:rsid w:val="00FA66F8"/>
    <w:rsid w:val="00FB20E4"/>
    <w:rsid w:val="00FB7B38"/>
    <w:rsid w:val="00FC50B9"/>
    <w:rsid w:val="00FD0E36"/>
    <w:rsid w:val="00FD2CC5"/>
    <w:rsid w:val="00FD781D"/>
    <w:rsid w:val="00FD7C5B"/>
    <w:rsid w:val="00FE7659"/>
    <w:rsid w:val="00FF37FF"/>
    <w:rsid w:val="00FF5AEB"/>
    <w:rsid w:val="00FF6E72"/>
    <w:rsid w:val="01351803"/>
    <w:rsid w:val="01360419"/>
    <w:rsid w:val="01A8508C"/>
    <w:rsid w:val="01E706E4"/>
    <w:rsid w:val="029F4690"/>
    <w:rsid w:val="02AB1BC1"/>
    <w:rsid w:val="02C96C96"/>
    <w:rsid w:val="02FA610B"/>
    <w:rsid w:val="037E7ADF"/>
    <w:rsid w:val="03A90598"/>
    <w:rsid w:val="03B21661"/>
    <w:rsid w:val="04666F6C"/>
    <w:rsid w:val="04F54A98"/>
    <w:rsid w:val="05973738"/>
    <w:rsid w:val="06175B73"/>
    <w:rsid w:val="068B0EBC"/>
    <w:rsid w:val="07123FCD"/>
    <w:rsid w:val="074158A0"/>
    <w:rsid w:val="074D45BF"/>
    <w:rsid w:val="07652E6E"/>
    <w:rsid w:val="076B4B4E"/>
    <w:rsid w:val="076E18DD"/>
    <w:rsid w:val="07CD4764"/>
    <w:rsid w:val="08233125"/>
    <w:rsid w:val="085D4F61"/>
    <w:rsid w:val="08E521B1"/>
    <w:rsid w:val="09615163"/>
    <w:rsid w:val="09D06FC8"/>
    <w:rsid w:val="0BD84E15"/>
    <w:rsid w:val="0D656172"/>
    <w:rsid w:val="0DB66A4D"/>
    <w:rsid w:val="0E056A69"/>
    <w:rsid w:val="0E3E791A"/>
    <w:rsid w:val="1031155B"/>
    <w:rsid w:val="10753B0C"/>
    <w:rsid w:val="123D6042"/>
    <w:rsid w:val="13D12A25"/>
    <w:rsid w:val="13D931F8"/>
    <w:rsid w:val="13FE0C28"/>
    <w:rsid w:val="15444261"/>
    <w:rsid w:val="159E7A1A"/>
    <w:rsid w:val="15F377FB"/>
    <w:rsid w:val="16E806F7"/>
    <w:rsid w:val="17E632F8"/>
    <w:rsid w:val="18342CA6"/>
    <w:rsid w:val="18802CCB"/>
    <w:rsid w:val="197131A1"/>
    <w:rsid w:val="1CCD0E85"/>
    <w:rsid w:val="1D70676E"/>
    <w:rsid w:val="1E4D35B9"/>
    <w:rsid w:val="1E7B23CC"/>
    <w:rsid w:val="1EA70940"/>
    <w:rsid w:val="209316A0"/>
    <w:rsid w:val="20C2105F"/>
    <w:rsid w:val="211A2370"/>
    <w:rsid w:val="22450213"/>
    <w:rsid w:val="224D7A95"/>
    <w:rsid w:val="2370007A"/>
    <w:rsid w:val="23724497"/>
    <w:rsid w:val="23D26F32"/>
    <w:rsid w:val="24803654"/>
    <w:rsid w:val="257A162F"/>
    <w:rsid w:val="26790232"/>
    <w:rsid w:val="271E5FE7"/>
    <w:rsid w:val="27555EA4"/>
    <w:rsid w:val="27884202"/>
    <w:rsid w:val="285048C9"/>
    <w:rsid w:val="28A01DD8"/>
    <w:rsid w:val="28E2557C"/>
    <w:rsid w:val="28F96D0F"/>
    <w:rsid w:val="298911FC"/>
    <w:rsid w:val="2A332897"/>
    <w:rsid w:val="2A6C0952"/>
    <w:rsid w:val="2B8C5C18"/>
    <w:rsid w:val="2BB91B8A"/>
    <w:rsid w:val="2BD20463"/>
    <w:rsid w:val="2C8E4B0F"/>
    <w:rsid w:val="2CC376E1"/>
    <w:rsid w:val="2D192C9D"/>
    <w:rsid w:val="2D4374B1"/>
    <w:rsid w:val="2E151502"/>
    <w:rsid w:val="2E7C6418"/>
    <w:rsid w:val="2E7D0249"/>
    <w:rsid w:val="2F2666CA"/>
    <w:rsid w:val="311A542D"/>
    <w:rsid w:val="31324B8F"/>
    <w:rsid w:val="333C583A"/>
    <w:rsid w:val="3347604A"/>
    <w:rsid w:val="33D2514F"/>
    <w:rsid w:val="33F4695C"/>
    <w:rsid w:val="349B6423"/>
    <w:rsid w:val="361C291D"/>
    <w:rsid w:val="367B674E"/>
    <w:rsid w:val="376A3DBD"/>
    <w:rsid w:val="39D017D4"/>
    <w:rsid w:val="39D820B4"/>
    <w:rsid w:val="3A4A1178"/>
    <w:rsid w:val="3A9577D0"/>
    <w:rsid w:val="3B424545"/>
    <w:rsid w:val="3B5D312D"/>
    <w:rsid w:val="3C644064"/>
    <w:rsid w:val="3C974EAD"/>
    <w:rsid w:val="3DF43F75"/>
    <w:rsid w:val="3EE12881"/>
    <w:rsid w:val="3F2F4E0F"/>
    <w:rsid w:val="3FFC1350"/>
    <w:rsid w:val="40286B7A"/>
    <w:rsid w:val="41694562"/>
    <w:rsid w:val="41E803C8"/>
    <w:rsid w:val="436326C3"/>
    <w:rsid w:val="440A633B"/>
    <w:rsid w:val="44A856DB"/>
    <w:rsid w:val="44AC4586"/>
    <w:rsid w:val="46816EF0"/>
    <w:rsid w:val="46C95B25"/>
    <w:rsid w:val="48BC08F0"/>
    <w:rsid w:val="49597E14"/>
    <w:rsid w:val="49CC54F2"/>
    <w:rsid w:val="4AB663B6"/>
    <w:rsid w:val="4B05134F"/>
    <w:rsid w:val="4B410612"/>
    <w:rsid w:val="4B4179B6"/>
    <w:rsid w:val="4C0D3091"/>
    <w:rsid w:val="4C753838"/>
    <w:rsid w:val="4CF3569F"/>
    <w:rsid w:val="4E0700DA"/>
    <w:rsid w:val="4E882B43"/>
    <w:rsid w:val="4E9270B7"/>
    <w:rsid w:val="4EE7272D"/>
    <w:rsid w:val="4F1A5E2D"/>
    <w:rsid w:val="4F47599F"/>
    <w:rsid w:val="4FC418CB"/>
    <w:rsid w:val="506D5E85"/>
    <w:rsid w:val="50A01005"/>
    <w:rsid w:val="50D16643"/>
    <w:rsid w:val="518871CD"/>
    <w:rsid w:val="522F1608"/>
    <w:rsid w:val="525A662E"/>
    <w:rsid w:val="527A5A67"/>
    <w:rsid w:val="52A43AA8"/>
    <w:rsid w:val="52C35B14"/>
    <w:rsid w:val="52D2688E"/>
    <w:rsid w:val="53A9517D"/>
    <w:rsid w:val="53AC6661"/>
    <w:rsid w:val="54D80C0F"/>
    <w:rsid w:val="55D00E0C"/>
    <w:rsid w:val="560C2242"/>
    <w:rsid w:val="564B7FD0"/>
    <w:rsid w:val="56C801DB"/>
    <w:rsid w:val="57287CD0"/>
    <w:rsid w:val="57991D6D"/>
    <w:rsid w:val="585F038E"/>
    <w:rsid w:val="58A62477"/>
    <w:rsid w:val="59235D97"/>
    <w:rsid w:val="59625713"/>
    <w:rsid w:val="59A65A52"/>
    <w:rsid w:val="59B05D3D"/>
    <w:rsid w:val="5A551748"/>
    <w:rsid w:val="5ACB7C5C"/>
    <w:rsid w:val="5B694D7F"/>
    <w:rsid w:val="5B930C35"/>
    <w:rsid w:val="5BAE2B14"/>
    <w:rsid w:val="5BE500AF"/>
    <w:rsid w:val="5CB40524"/>
    <w:rsid w:val="5D4E2E05"/>
    <w:rsid w:val="5E506C8B"/>
    <w:rsid w:val="5EA13415"/>
    <w:rsid w:val="6086772B"/>
    <w:rsid w:val="60AF1486"/>
    <w:rsid w:val="60F872D1"/>
    <w:rsid w:val="61B8577A"/>
    <w:rsid w:val="61ED674B"/>
    <w:rsid w:val="622309FF"/>
    <w:rsid w:val="62D578C9"/>
    <w:rsid w:val="62DF1148"/>
    <w:rsid w:val="63786CE0"/>
    <w:rsid w:val="63B1512F"/>
    <w:rsid w:val="64537317"/>
    <w:rsid w:val="65592694"/>
    <w:rsid w:val="65D03C5D"/>
    <w:rsid w:val="65D86B8D"/>
    <w:rsid w:val="665156D6"/>
    <w:rsid w:val="66E1665E"/>
    <w:rsid w:val="6762335A"/>
    <w:rsid w:val="67FD79F2"/>
    <w:rsid w:val="68405458"/>
    <w:rsid w:val="687540F4"/>
    <w:rsid w:val="6A7B61E8"/>
    <w:rsid w:val="6B26605F"/>
    <w:rsid w:val="6B650631"/>
    <w:rsid w:val="6B656182"/>
    <w:rsid w:val="6BD95492"/>
    <w:rsid w:val="6BEE5558"/>
    <w:rsid w:val="6C306C03"/>
    <w:rsid w:val="6CCC2115"/>
    <w:rsid w:val="6D63684A"/>
    <w:rsid w:val="6D666337"/>
    <w:rsid w:val="6E3446CF"/>
    <w:rsid w:val="6F137EEE"/>
    <w:rsid w:val="70C04BB3"/>
    <w:rsid w:val="715737BA"/>
    <w:rsid w:val="71E92B98"/>
    <w:rsid w:val="72721229"/>
    <w:rsid w:val="727D5888"/>
    <w:rsid w:val="74087270"/>
    <w:rsid w:val="755122F7"/>
    <w:rsid w:val="75AF5B8D"/>
    <w:rsid w:val="76217C96"/>
    <w:rsid w:val="76293444"/>
    <w:rsid w:val="763A3FE7"/>
    <w:rsid w:val="772D7053"/>
    <w:rsid w:val="77C07548"/>
    <w:rsid w:val="784309DA"/>
    <w:rsid w:val="78C308F8"/>
    <w:rsid w:val="7A03694D"/>
    <w:rsid w:val="7A3A39F9"/>
    <w:rsid w:val="7A6A7355"/>
    <w:rsid w:val="7AC21FB4"/>
    <w:rsid w:val="7ACF40A4"/>
    <w:rsid w:val="7AFC477A"/>
    <w:rsid w:val="7C8779EF"/>
    <w:rsid w:val="7CC52497"/>
    <w:rsid w:val="7D354E28"/>
    <w:rsid w:val="7D48407C"/>
    <w:rsid w:val="7E0C394F"/>
    <w:rsid w:val="7F1F05E8"/>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562" w:firstLineChars="200"/>
      <w:jc w:val="both"/>
    </w:pPr>
    <w:rPr>
      <w:rFonts w:ascii="Calibri" w:hAnsi="Calibri" w:eastAsia="宋体" w:cs="Times New Roman"/>
      <w:kern w:val="2"/>
      <w:sz w:val="24"/>
      <w:szCs w:val="22"/>
      <w:lang w:val="en-US" w:eastAsia="zh-CN" w:bidi="ar-SA"/>
    </w:rPr>
  </w:style>
  <w:style w:type="paragraph" w:styleId="3">
    <w:name w:val="heading 1"/>
    <w:basedOn w:val="1"/>
    <w:next w:val="1"/>
    <w:link w:val="27"/>
    <w:qFormat/>
    <w:uiPriority w:val="9"/>
    <w:pPr>
      <w:keepNext/>
      <w:keepLines/>
      <w:spacing w:line="300" w:lineRule="auto"/>
      <w:ind w:firstLine="422" w:firstLineChars="200"/>
      <w:outlineLvl w:val="0"/>
    </w:pPr>
    <w:rPr>
      <w:rFonts w:eastAsia="宋体"/>
      <w:b/>
      <w:bCs/>
      <w:kern w:val="44"/>
      <w:sz w:val="28"/>
      <w:szCs w:val="44"/>
    </w:rPr>
  </w:style>
  <w:style w:type="paragraph" w:styleId="4">
    <w:name w:val="heading 2"/>
    <w:basedOn w:val="1"/>
    <w:next w:val="1"/>
    <w:link w:val="38"/>
    <w:unhideWhenUsed/>
    <w:qFormat/>
    <w:uiPriority w:val="9"/>
    <w:pPr>
      <w:keepNext/>
      <w:keepLines/>
      <w:spacing w:beforeLines="0" w:beforeAutospacing="0" w:afterLines="0" w:afterAutospacing="0" w:line="300" w:lineRule="auto"/>
      <w:ind w:firstLine="422" w:firstLineChars="200"/>
      <w:outlineLvl w:val="1"/>
    </w:pPr>
    <w:rPr>
      <w:rFonts w:ascii="Arial" w:hAnsi="Arial" w:eastAsia="宋体"/>
      <w:b/>
    </w:rPr>
  </w:style>
  <w:style w:type="paragraph" w:styleId="2">
    <w:name w:val="heading 3"/>
    <w:basedOn w:val="1"/>
    <w:next w:val="1"/>
    <w:unhideWhenUsed/>
    <w:qFormat/>
    <w:uiPriority w:val="9"/>
    <w:pPr>
      <w:keepNext/>
      <w:keepLines/>
      <w:spacing w:beforeLines="0" w:beforeAutospacing="0" w:afterLines="0" w:afterAutospacing="0" w:line="300" w:lineRule="auto"/>
      <w:jc w:val="center"/>
      <w:outlineLvl w:val="0"/>
    </w:pPr>
    <w:rPr>
      <w:rFonts w:eastAsia="黑体"/>
      <w:b/>
      <w:sz w:val="36"/>
    </w:rPr>
  </w:style>
  <w:style w:type="paragraph" w:styleId="5">
    <w:name w:val="heading 4"/>
    <w:basedOn w:val="1"/>
    <w:next w:val="1"/>
    <w:unhideWhenUsed/>
    <w:qFormat/>
    <w:uiPriority w:val="9"/>
    <w:pPr>
      <w:keepNext/>
      <w:keepLines/>
      <w:spacing w:beforeLines="0" w:beforeAutospacing="0" w:afterLines="0" w:afterAutospacing="0" w:line="300" w:lineRule="auto"/>
      <w:jc w:val="center"/>
      <w:outlineLvl w:val="0"/>
    </w:pPr>
    <w:rPr>
      <w:rFonts w:ascii="Arial" w:hAnsi="Arial" w:eastAsia="宋体"/>
      <w:b/>
      <w:sz w:val="28"/>
    </w:rPr>
  </w:style>
  <w:style w:type="paragraph" w:styleId="6">
    <w:name w:val="heading 5"/>
    <w:basedOn w:val="1"/>
    <w:next w:val="1"/>
    <w:link w:val="40"/>
    <w:unhideWhenUsed/>
    <w:qFormat/>
    <w:uiPriority w:val="9"/>
    <w:pPr>
      <w:keepNext/>
      <w:keepLines/>
      <w:spacing w:beforeLines="0" w:beforeAutospacing="0" w:afterLines="0" w:afterAutospacing="0" w:line="300" w:lineRule="auto"/>
      <w:outlineLvl w:val="2"/>
    </w:pPr>
    <w:rPr>
      <w:rFonts w:eastAsia="宋体"/>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Body Text Indent"/>
    <w:basedOn w:val="1"/>
    <w:link w:val="28"/>
    <w:qFormat/>
    <w:uiPriority w:val="0"/>
    <w:pPr>
      <w:spacing w:line="120" w:lineRule="atLeast"/>
      <w:ind w:firstLine="460" w:firstLineChars="200"/>
    </w:pPr>
    <w:rPr>
      <w:rFonts w:ascii="Times New Roman" w:hAnsi="Times New Roman"/>
      <w:spacing w:val="10"/>
      <w:szCs w:val="24"/>
    </w:rPr>
  </w:style>
  <w:style w:type="paragraph" w:styleId="8">
    <w:name w:val="toc 3"/>
    <w:basedOn w:val="1"/>
    <w:next w:val="1"/>
    <w:qFormat/>
    <w:uiPriority w:val="39"/>
    <w:pPr>
      <w:ind w:left="840" w:leftChars="400"/>
    </w:pPr>
  </w:style>
  <w:style w:type="paragraph" w:styleId="9">
    <w:name w:val="Date"/>
    <w:basedOn w:val="1"/>
    <w:next w:val="1"/>
    <w:link w:val="33"/>
    <w:qFormat/>
    <w:uiPriority w:val="0"/>
    <w:pPr>
      <w:ind w:left="100" w:leftChars="2500"/>
    </w:pPr>
    <w:rPr>
      <w:rFonts w:ascii="Georgia" w:hAnsi="Georgia"/>
      <w:sz w:val="24"/>
      <w:szCs w:val="24"/>
    </w:rPr>
  </w:style>
  <w:style w:type="paragraph" w:styleId="10">
    <w:name w:val="endnote text"/>
    <w:basedOn w:val="1"/>
    <w:link w:val="37"/>
    <w:semiHidden/>
    <w:unhideWhenUsed/>
    <w:qFormat/>
    <w:uiPriority w:val="99"/>
    <w:pPr>
      <w:snapToGrid w:val="0"/>
      <w:jc w:val="left"/>
    </w:pPr>
  </w:style>
  <w:style w:type="paragraph" w:styleId="11">
    <w:name w:val="Balloon Text"/>
    <w:basedOn w:val="1"/>
    <w:link w:val="34"/>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pPr>
      <w:tabs>
        <w:tab w:val="right" w:leader="dot" w:pos="8296"/>
      </w:tabs>
    </w:pPr>
    <w:rPr>
      <w:rFonts w:ascii="宋体" w:hAnsi="宋体"/>
      <w:color w:val="000000"/>
      <w:sz w:val="28"/>
      <w:szCs w:val="28"/>
    </w:rPr>
  </w:style>
  <w:style w:type="paragraph" w:styleId="15">
    <w:name w:val="footnote text"/>
    <w:basedOn w:val="1"/>
    <w:qFormat/>
    <w:uiPriority w:val="0"/>
    <w:pPr>
      <w:snapToGrid w:val="0"/>
      <w:jc w:val="left"/>
    </w:pPr>
    <w:rPr>
      <w:sz w:val="18"/>
      <w:szCs w:val="18"/>
    </w:rPr>
  </w:style>
  <w:style w:type="paragraph" w:styleId="16">
    <w:name w:val="toc 2"/>
    <w:basedOn w:val="1"/>
    <w:next w:val="1"/>
    <w:qFormat/>
    <w:uiPriority w:val="39"/>
    <w:pPr>
      <w:ind w:left="420" w:leftChars="200"/>
    </w:pPr>
  </w:style>
  <w:style w:type="paragraph" w:styleId="17">
    <w:name w:val="Normal (Web)"/>
    <w:basedOn w:val="1"/>
    <w:semiHidden/>
    <w:unhideWhenUsed/>
    <w:qFormat/>
    <w:uiPriority w:val="99"/>
    <w:rPr>
      <w:rFonts w:ascii="Times New Roman" w:hAnsi="Times New Roman"/>
      <w:sz w:val="24"/>
      <w:szCs w:val="24"/>
    </w:rPr>
  </w:style>
  <w:style w:type="paragraph" w:styleId="18">
    <w:name w:val="Title"/>
    <w:basedOn w:val="1"/>
    <w:link w:val="29"/>
    <w:qFormat/>
    <w:uiPriority w:val="0"/>
    <w:pPr>
      <w:jc w:val="center"/>
    </w:pPr>
    <w:rPr>
      <w:rFonts w:ascii="Times New Roman" w:hAnsi="Times New Roman"/>
      <w:b/>
      <w:bCs/>
      <w:sz w:val="32"/>
      <w:szCs w:val="24"/>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basedOn w:val="21"/>
    <w:semiHidden/>
    <w:unhideWhenUsed/>
    <w:qFormat/>
    <w:uiPriority w:val="99"/>
    <w:rPr>
      <w:vertAlign w:val="superscript"/>
    </w:rPr>
  </w:style>
  <w:style w:type="character" w:styleId="23">
    <w:name w:val="page number"/>
    <w:basedOn w:val="21"/>
    <w:qFormat/>
    <w:uiPriority w:val="0"/>
  </w:style>
  <w:style w:type="character" w:styleId="24">
    <w:name w:val="footnote reference"/>
    <w:basedOn w:val="21"/>
    <w:semiHidden/>
    <w:qFormat/>
    <w:uiPriority w:val="0"/>
    <w:rPr>
      <w:rFonts w:hint="default" w:ascii="Times New Roman" w:hAnsi="Times New Roman" w:cs="Times New Roman"/>
      <w:vertAlign w:val="superscript"/>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character" w:customStyle="1" w:styleId="27">
    <w:name w:val="标题 1 字符"/>
    <w:basedOn w:val="21"/>
    <w:link w:val="3"/>
    <w:qFormat/>
    <w:uiPriority w:val="9"/>
    <w:rPr>
      <w:rFonts w:ascii="Calibri" w:hAnsi="Calibri" w:eastAsia="宋体" w:cs="Times New Roman"/>
      <w:b/>
      <w:bCs/>
      <w:kern w:val="44"/>
      <w:sz w:val="28"/>
      <w:szCs w:val="44"/>
    </w:rPr>
  </w:style>
  <w:style w:type="character" w:customStyle="1" w:styleId="28">
    <w:name w:val="正文文本缩进 字符"/>
    <w:basedOn w:val="21"/>
    <w:link w:val="7"/>
    <w:qFormat/>
    <w:uiPriority w:val="0"/>
    <w:rPr>
      <w:rFonts w:ascii="Times New Roman" w:hAnsi="Times New Roman" w:eastAsia="宋体" w:cs="Times New Roman"/>
      <w:spacing w:val="10"/>
      <w:szCs w:val="24"/>
    </w:rPr>
  </w:style>
  <w:style w:type="character" w:customStyle="1" w:styleId="29">
    <w:name w:val="标题 字符"/>
    <w:basedOn w:val="21"/>
    <w:link w:val="18"/>
    <w:qFormat/>
    <w:uiPriority w:val="0"/>
    <w:rPr>
      <w:rFonts w:ascii="Times New Roman" w:hAnsi="Times New Roman" w:eastAsia="宋体" w:cs="Times New Roman"/>
      <w:b/>
      <w:bCs/>
      <w:sz w:val="32"/>
      <w:szCs w:val="24"/>
    </w:rPr>
  </w:style>
  <w:style w:type="paragraph" w:customStyle="1" w:styleId="30">
    <w:name w:val="论文标题3"/>
    <w:basedOn w:val="1"/>
    <w:qFormat/>
    <w:uiPriority w:val="0"/>
    <w:pPr>
      <w:spacing w:line="300" w:lineRule="auto"/>
      <w:ind w:firstLine="480" w:firstLineChars="200"/>
    </w:pPr>
    <w:rPr>
      <w:rFonts w:ascii="宋体" w:hAnsi="宋体"/>
      <w:sz w:val="24"/>
      <w:szCs w:val="24"/>
    </w:rPr>
  </w:style>
  <w:style w:type="paragraph" w:customStyle="1" w:styleId="31">
    <w:name w:val="论文标题1"/>
    <w:basedOn w:val="1"/>
    <w:qFormat/>
    <w:uiPriority w:val="0"/>
    <w:pPr>
      <w:spacing w:line="300" w:lineRule="auto"/>
      <w:jc w:val="center"/>
    </w:pPr>
    <w:rPr>
      <w:rFonts w:ascii="宋体" w:hAnsi="宋体"/>
      <w:b/>
      <w:sz w:val="28"/>
      <w:szCs w:val="28"/>
    </w:rPr>
  </w:style>
  <w:style w:type="character" w:customStyle="1" w:styleId="32">
    <w:name w:val="论文标题2 Char"/>
    <w:basedOn w:val="21"/>
    <w:qFormat/>
    <w:uiPriority w:val="0"/>
    <w:rPr>
      <w:rFonts w:eastAsia="宋体"/>
      <w:b/>
      <w:kern w:val="2"/>
      <w:sz w:val="24"/>
      <w:szCs w:val="24"/>
      <w:lang w:val="en-US" w:eastAsia="zh-CN" w:bidi="ar-SA"/>
    </w:rPr>
  </w:style>
  <w:style w:type="character" w:customStyle="1" w:styleId="33">
    <w:name w:val="日期 字符"/>
    <w:basedOn w:val="21"/>
    <w:link w:val="9"/>
    <w:qFormat/>
    <w:uiPriority w:val="0"/>
    <w:rPr>
      <w:rFonts w:ascii="Georgia" w:hAnsi="Georgia" w:eastAsia="宋体" w:cs="Times New Roman"/>
      <w:sz w:val="24"/>
      <w:szCs w:val="24"/>
    </w:rPr>
  </w:style>
  <w:style w:type="character" w:customStyle="1" w:styleId="34">
    <w:name w:val="批注框文本 字符"/>
    <w:basedOn w:val="21"/>
    <w:link w:val="11"/>
    <w:semiHidden/>
    <w:qFormat/>
    <w:uiPriority w:val="99"/>
    <w:rPr>
      <w:rFonts w:ascii="Calibri" w:hAnsi="Calibri" w:eastAsia="宋体" w:cs="Times New Roman"/>
      <w:sz w:val="18"/>
      <w:szCs w:val="18"/>
    </w:rPr>
  </w:style>
  <w:style w:type="paragraph" w:customStyle="1" w:styleId="3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99"/>
    <w:pPr>
      <w:ind w:firstLine="420" w:firstLineChars="200"/>
    </w:pPr>
  </w:style>
  <w:style w:type="character" w:customStyle="1" w:styleId="37">
    <w:name w:val="尾注文本 字符"/>
    <w:basedOn w:val="21"/>
    <w:link w:val="10"/>
    <w:semiHidden/>
    <w:qFormat/>
    <w:uiPriority w:val="99"/>
    <w:rPr>
      <w:rFonts w:ascii="Calibri" w:hAnsi="Calibri"/>
      <w:kern w:val="2"/>
      <w:sz w:val="21"/>
      <w:szCs w:val="22"/>
    </w:rPr>
  </w:style>
  <w:style w:type="character" w:customStyle="1" w:styleId="38">
    <w:name w:val="标题 2 Char"/>
    <w:link w:val="4"/>
    <w:qFormat/>
    <w:uiPriority w:val="0"/>
    <w:rPr>
      <w:rFonts w:ascii="Arial" w:hAnsi="Arial" w:eastAsia="宋体"/>
      <w:b/>
      <w:sz w:val="24"/>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character" w:customStyle="1" w:styleId="40">
    <w:name w:val="标题 5 Char"/>
    <w:link w:val="6"/>
    <w:qFormat/>
    <w:uiPriority w:val="0"/>
    <w:rPr>
      <w:rFonts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92065-1569-4009-BBFE-F65CA752C8E6}">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10734</Words>
  <Characters>12182</Characters>
  <Lines>91</Lines>
  <Paragraphs>25</Paragraphs>
  <TotalTime>1</TotalTime>
  <ScaleCrop>false</ScaleCrop>
  <LinksUpToDate>false</LinksUpToDate>
  <CharactersWithSpaces>12628</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2018-12-18T12:03:00Z</dcterms:created>
  <dc:creator>Administrator</dc:creator>
  <cp:lastModifiedBy>＋1</cp:lastModifiedBy>
  <dcterms:modified xsi:type="dcterms:W3CDTF">2023-12-07T06:36:28Z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8B07FF6861594F46B1C7D47BDA795461</vt:lpwstr>
  </property>
</Properties>
</file>